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DD9" w:rsidRPr="00BC0D38" w:rsidRDefault="00401377">
      <w:pPr>
        <w:pStyle w:val="Heading1"/>
        <w:rPr>
          <w:lang w:val="en-US"/>
        </w:rPr>
      </w:pPr>
      <w:r>
        <w:t xml:space="preserve">Advanced cryo-trapping time-resolved crystallography: </w:t>
      </w:r>
      <w:r w:rsidR="00BC0D38" w:rsidRPr="00E22C73">
        <w:rPr>
          <w:i/>
          <w:iCs/>
        </w:rPr>
        <w:t>S</w:t>
      </w:r>
      <w:r w:rsidR="00E22C73" w:rsidRPr="00E22C73">
        <w:rPr>
          <w:i/>
          <w:iCs/>
        </w:rPr>
        <w:t>pitrobot</w:t>
      </w:r>
      <w:r w:rsidR="00BC0D38" w:rsidRPr="00E22C73">
        <w:rPr>
          <w:i/>
          <w:iCs/>
        </w:rPr>
        <w:t>-2</w:t>
      </w:r>
      <w:r w:rsidR="00BC0D38">
        <w:t xml:space="preserve"> enables i</w:t>
      </w:r>
      <w:r>
        <w:t>nvestigation of protein dynamics with millisecond time resolution</w:t>
      </w:r>
      <w:r w:rsidR="00BC0D38">
        <w:rPr>
          <w:lang w:val="en-US"/>
        </w:rPr>
        <w:t xml:space="preserve"> </w:t>
      </w:r>
    </w:p>
    <w:p w:rsidR="00A22DD9" w:rsidRDefault="008676F5">
      <w:pPr>
        <w:pStyle w:val="Heading2"/>
      </w:pPr>
      <w:r>
        <w:t>M. Spiliopoulou</w:t>
      </w:r>
      <w:r>
        <w:rPr>
          <w:vertAlign w:val="superscript"/>
        </w:rPr>
        <w:t>1*</w:t>
      </w:r>
      <w:r>
        <w:t>, C.</w:t>
      </w:r>
      <w:r w:rsidR="0077277F">
        <w:t>E.</w:t>
      </w:r>
      <w:r>
        <w:t xml:space="preserve"> Hatton</w:t>
      </w:r>
      <w:r>
        <w:rPr>
          <w:vertAlign w:val="superscript"/>
        </w:rPr>
        <w:t>2</w:t>
      </w:r>
      <w:r>
        <w:t xml:space="preserve">, M. </w:t>
      </w:r>
      <w:r w:rsidRPr="008676F5">
        <w:t>Kollewe</w:t>
      </w:r>
      <w:r w:rsidR="008F358B">
        <w:rPr>
          <w:vertAlign w:val="superscript"/>
        </w:rPr>
        <w:t>3</w:t>
      </w:r>
      <w:r>
        <w:t xml:space="preserve">, J.P. </w:t>
      </w:r>
      <w:r w:rsidRPr="008676F5">
        <w:t>Leimkohl</w:t>
      </w:r>
      <w:r w:rsidR="008F358B">
        <w:rPr>
          <w:vertAlign w:val="superscript"/>
        </w:rPr>
        <w:t>3</w:t>
      </w:r>
      <w:r>
        <w:t xml:space="preserve">, H. </w:t>
      </w:r>
      <w:r w:rsidRPr="008676F5">
        <w:t>Schikora</w:t>
      </w:r>
      <w:r w:rsidR="00B47355">
        <w:rPr>
          <w:vertAlign w:val="superscript"/>
        </w:rPr>
        <w:t>3</w:t>
      </w:r>
      <w:r>
        <w:t>, F. Tellkamp</w:t>
      </w:r>
      <w:r w:rsidR="00B47355">
        <w:rPr>
          <w:vertAlign w:val="superscript"/>
        </w:rPr>
        <w:t>3</w:t>
      </w:r>
      <w:r w:rsidR="00E22C73">
        <w:rPr>
          <w:vertAlign w:val="superscript"/>
        </w:rPr>
        <w:t>*</w:t>
      </w:r>
      <w:r w:rsidR="00E22C73" w:rsidRPr="00E22C73">
        <w:rPr>
          <w:vertAlign w:val="superscript"/>
        </w:rPr>
        <w:t>†</w:t>
      </w:r>
      <w:r w:rsidR="00C51D6F">
        <w:t>, P. Mehrabi</w:t>
      </w:r>
      <w:r w:rsidR="00C51D6F">
        <w:rPr>
          <w:vertAlign w:val="superscript"/>
        </w:rPr>
        <w:t>2</w:t>
      </w:r>
      <w:r w:rsidR="00E22C73">
        <w:rPr>
          <w:vertAlign w:val="superscript"/>
        </w:rPr>
        <w:t>*</w:t>
      </w:r>
      <w:r w:rsidR="00E22C73" w:rsidRPr="00E22C73">
        <w:rPr>
          <w:vertAlign w:val="superscript"/>
        </w:rPr>
        <w:t>†</w:t>
      </w:r>
      <w:r w:rsidR="00C51D6F">
        <w:t>, E.C. Schulz</w:t>
      </w:r>
      <w:r w:rsidR="00C51D6F">
        <w:rPr>
          <w:vertAlign w:val="superscript"/>
        </w:rPr>
        <w:t>1</w:t>
      </w:r>
      <w:r w:rsidR="00E22C73">
        <w:rPr>
          <w:vertAlign w:val="superscript"/>
        </w:rPr>
        <w:t>*</w:t>
      </w:r>
      <w:r w:rsidR="00E22C73" w:rsidRPr="00E22C73">
        <w:rPr>
          <w:vertAlign w:val="superscript"/>
        </w:rPr>
        <w:t>†</w:t>
      </w:r>
    </w:p>
    <w:p w:rsidR="009230C2" w:rsidRPr="00F72B1A" w:rsidRDefault="00000000" w:rsidP="009230C2">
      <w:pPr>
        <w:pStyle w:val="Heading3"/>
        <w:rPr>
          <w:lang w:val="en-US"/>
        </w:rPr>
      </w:pPr>
      <w:r>
        <w:rPr>
          <w:vertAlign w:val="superscript"/>
        </w:rPr>
        <w:t>1</w:t>
      </w:r>
      <w:r w:rsidR="00516A28" w:rsidRPr="00516A28">
        <w:t xml:space="preserve"> Institute of Biochemistry and Signal Transduction, University Medical </w:t>
      </w:r>
      <w:proofErr w:type="spellStart"/>
      <w:r w:rsidR="00516A28" w:rsidRPr="00516A28">
        <w:t>Center</w:t>
      </w:r>
      <w:proofErr w:type="spellEnd"/>
      <w:r w:rsidR="00516A28" w:rsidRPr="00516A28">
        <w:t xml:space="preserve"> Hamburg-Eppendorf (UKE)</w:t>
      </w:r>
      <w:r>
        <w:t xml:space="preserve">, </w:t>
      </w:r>
      <w:r>
        <w:rPr>
          <w:vertAlign w:val="superscript"/>
        </w:rPr>
        <w:t>2</w:t>
      </w:r>
      <w:r w:rsidR="00516A28" w:rsidRPr="00516A28">
        <w:t xml:space="preserve"> Institute for</w:t>
      </w:r>
    </w:p>
    <w:p w:rsidR="009230C2" w:rsidRDefault="00516A28" w:rsidP="009230C2">
      <w:pPr>
        <w:pStyle w:val="Heading3"/>
      </w:pPr>
      <w:r w:rsidRPr="00516A28">
        <w:t>Nanostructure and Solid-State Physics, Universität Hamburg, HARBOR, Hamburg, Germany</w:t>
      </w:r>
      <w:r>
        <w:t xml:space="preserve">, </w:t>
      </w:r>
      <w:r w:rsidRPr="00516A28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Max-Planck-Institute for Structure</w:t>
      </w:r>
    </w:p>
    <w:p w:rsidR="00A22DD9" w:rsidRDefault="00516A28" w:rsidP="009230C2">
      <w:pPr>
        <w:pStyle w:val="Heading3"/>
      </w:pPr>
      <w:r>
        <w:t>and</w:t>
      </w:r>
      <w:r w:rsidR="006C4BF9">
        <w:t xml:space="preserve"> </w:t>
      </w:r>
      <w:r>
        <w:t>Dynamics of Matter, Hamburg, Germany</w:t>
      </w:r>
    </w:p>
    <w:p w:rsidR="00E22C73" w:rsidRDefault="008676F5">
      <w:pPr>
        <w:pStyle w:val="Heading3"/>
      </w:pPr>
      <w:r>
        <w:t xml:space="preserve">* </w:t>
      </w:r>
      <w:hyperlink r:id="rId7" w:history="1">
        <w:r w:rsidR="00E22C73" w:rsidRPr="00953D83">
          <w:rPr>
            <w:rStyle w:val="Hyperlink"/>
          </w:rPr>
          <w:t>m.spiliopoulou@uke.de</w:t>
        </w:r>
      </w:hyperlink>
      <w:r w:rsidR="00E22C73">
        <w:t xml:space="preserve">, </w:t>
      </w:r>
      <w:hyperlink r:id="rId8" w:history="1">
        <w:r w:rsidR="00E22C73" w:rsidRPr="00953D83">
          <w:rPr>
            <w:rStyle w:val="Hyperlink"/>
          </w:rPr>
          <w:t>friedjof.tellkamp@mpsd.mpg.de</w:t>
        </w:r>
      </w:hyperlink>
      <w:r w:rsidR="00E22C73">
        <w:t xml:space="preserve">, </w:t>
      </w:r>
      <w:hyperlink r:id="rId9" w:history="1">
        <w:r w:rsidR="00E22C73" w:rsidRPr="00953D83">
          <w:rPr>
            <w:rStyle w:val="Hyperlink"/>
          </w:rPr>
          <w:t>pedram.mehrabi@uni-hamburg.de</w:t>
        </w:r>
      </w:hyperlink>
      <w:r w:rsidR="00E22C73">
        <w:t xml:space="preserve"> and </w:t>
      </w:r>
      <w:hyperlink r:id="rId10" w:history="1">
        <w:r w:rsidR="00E22C73" w:rsidRPr="00953D83">
          <w:rPr>
            <w:rStyle w:val="Hyperlink"/>
          </w:rPr>
          <w:t>ec.schulz@uke.de</w:t>
        </w:r>
      </w:hyperlink>
      <w:r w:rsidR="00E22C73">
        <w:t xml:space="preserve"> </w:t>
      </w:r>
    </w:p>
    <w:p w:rsidR="00A22DD9" w:rsidRDefault="00E22C73">
      <w:pPr>
        <w:pStyle w:val="Heading3"/>
        <w:rPr>
          <w:sz w:val="18"/>
          <w:szCs w:val="18"/>
        </w:rPr>
      </w:pPr>
      <w:r w:rsidRPr="00CB61B8">
        <w:rPr>
          <w:iCs/>
          <w:szCs w:val="20"/>
        </w:rPr>
        <w:t>†These authors contributed equally to this work.</w:t>
      </w:r>
      <w:r w:rsidR="008676F5">
        <w:rPr>
          <w:lang w:eastAsia="de-DE"/>
        </w:rPr>
        <w:br/>
      </w:r>
    </w:p>
    <w:p w:rsidR="00866C6A" w:rsidRDefault="00866C6A" w:rsidP="00866C6A">
      <w:pPr>
        <w:rPr>
          <w:lang w:val="en-US"/>
        </w:rPr>
      </w:pPr>
      <w:r>
        <w:t>Time-resolved crystallography represents an optimal methodology to investigate the structure and dynamics of protein function</w:t>
      </w:r>
      <w:r w:rsidR="00503463">
        <w:t>, while i</w:t>
      </w:r>
      <w:r w:rsidR="00503463" w:rsidRPr="00503463">
        <w:t>n the context of enzymatic catalysis, it enables the direct visualization of transient intermediates along the reaction coordinate.</w:t>
      </w:r>
      <w:r w:rsidR="00503463">
        <w:t xml:space="preserve"> </w:t>
      </w:r>
      <w:r w:rsidR="00503463">
        <w:br/>
      </w:r>
      <w:r>
        <w:t xml:space="preserve">However, it demands considerable resources and expertise. In contrast, cryo-trapping represents a more accessible alternative that can be employed to </w:t>
      </w:r>
      <w:r w:rsidR="00503463" w:rsidRPr="00503463">
        <w:t>stabilize and characterize discrete enzymatic intermediates</w:t>
      </w:r>
      <w:r>
        <w:t xml:space="preserve">. While manual cryo-trapping is limited to relatively long delay times, the </w:t>
      </w:r>
      <w:proofErr w:type="spellStart"/>
      <w:r w:rsidR="005914EA">
        <w:rPr>
          <w:i/>
          <w:iCs/>
        </w:rPr>
        <w:t>spitrobot</w:t>
      </w:r>
      <w:proofErr w:type="spellEnd"/>
      <w:r>
        <w:t xml:space="preserve"> crystal plunger enables semi-automated sample preparation with sub-second time resolution in a humidity and temperature-controlled environment</w:t>
      </w:r>
      <w:r w:rsidR="00FC620E">
        <w:t xml:space="preserve"> </w:t>
      </w:r>
      <w:r w:rsidR="007F0D40">
        <w:t>[1]</w:t>
      </w:r>
      <w:r>
        <w:t xml:space="preserve">. When used in conjunction with </w:t>
      </w:r>
      <w:r w:rsidR="00606778" w:rsidRPr="00606778">
        <w:t xml:space="preserve">liquid application method for time-resolved analyses </w:t>
      </w:r>
      <w:r w:rsidR="00606778">
        <w:t>(</w:t>
      </w:r>
      <w:r>
        <w:t>LAMA</w:t>
      </w:r>
      <w:r w:rsidR="00606778">
        <w:t>)</w:t>
      </w:r>
      <w:r>
        <w:t xml:space="preserve"> techniques</w:t>
      </w:r>
      <w:r w:rsidR="00FC620E">
        <w:t xml:space="preserve"> </w:t>
      </w:r>
      <w:r w:rsidR="007F0D40">
        <w:t>[2]</w:t>
      </w:r>
      <w:r>
        <w:t xml:space="preserve">, it requires only minimal sample volumes for </w:t>
      </w:r>
      <w:r w:rsidRPr="00606778">
        <w:rPr>
          <w:i/>
          <w:iCs/>
        </w:rPr>
        <w:t>in-situ</w:t>
      </w:r>
      <w:r>
        <w:t xml:space="preserve"> mixing based reaction initiation</w:t>
      </w:r>
      <w:r w:rsidR="00606778">
        <w:t xml:space="preserve">. Also, </w:t>
      </w:r>
      <w:r>
        <w:t xml:space="preserve">compliance with the SPINE standard allows for seamless integration into automated </w:t>
      </w:r>
      <w:r w:rsidR="00606778">
        <w:t>high-</w:t>
      </w:r>
      <w:r w:rsidR="003353A5">
        <w:t>throughput workflows</w:t>
      </w:r>
      <w:r>
        <w:t xml:space="preserve">. </w:t>
      </w:r>
      <w:proofErr w:type="spellStart"/>
      <w:r w:rsidR="003E5907">
        <w:rPr>
          <w:i/>
          <w:iCs/>
          <w:lang w:val="en-US"/>
        </w:rPr>
        <w:t>S</w:t>
      </w:r>
      <w:r w:rsidR="005914EA">
        <w:rPr>
          <w:i/>
          <w:iCs/>
          <w:lang w:val="en-US"/>
        </w:rPr>
        <w:t>pitrobot</w:t>
      </w:r>
      <w:proofErr w:type="spellEnd"/>
      <w:r w:rsidRPr="00FD509D">
        <w:rPr>
          <w:i/>
          <w:iCs/>
        </w:rPr>
        <w:t>-</w:t>
      </w:r>
      <w:r w:rsidR="003E5907" w:rsidRPr="003E5907">
        <w:rPr>
          <w:i/>
          <w:iCs/>
          <w:lang w:val="en-US"/>
        </w:rPr>
        <w:t>2</w:t>
      </w:r>
      <w:r>
        <w:t xml:space="preserve"> is now available as an integrated benchtop instrument with an accessible delay time of up to 23 </w:t>
      </w:r>
      <w:proofErr w:type="spellStart"/>
      <w:r>
        <w:t>ms</w:t>
      </w:r>
      <w:proofErr w:type="spellEnd"/>
      <w:r>
        <w:t xml:space="preserve">. </w:t>
      </w:r>
      <w:r w:rsidR="00423C7E">
        <w:rPr>
          <w:lang w:val="en-US"/>
        </w:rPr>
        <w:t>The present study demonstrates</w:t>
      </w:r>
      <w:r w:rsidR="00B619E3" w:rsidRPr="00B619E3">
        <w:rPr>
          <w:lang w:val="en-US"/>
        </w:rPr>
        <w:t xml:space="preserve"> successful </w:t>
      </w:r>
      <w:proofErr w:type="spellStart"/>
      <w:r w:rsidR="005914EA">
        <w:rPr>
          <w:i/>
          <w:iCs/>
          <w:lang w:val="en-US"/>
        </w:rPr>
        <w:t>spitrobot</w:t>
      </w:r>
      <w:proofErr w:type="spellEnd"/>
      <w:r w:rsidR="003E5907" w:rsidRPr="00FD509D">
        <w:rPr>
          <w:i/>
          <w:iCs/>
        </w:rPr>
        <w:t>-</w:t>
      </w:r>
      <w:r w:rsidR="003E5907" w:rsidRPr="003E5907">
        <w:rPr>
          <w:i/>
          <w:iCs/>
          <w:lang w:val="en-US"/>
        </w:rPr>
        <w:t>2</w:t>
      </w:r>
      <w:r w:rsidR="003E5907">
        <w:t xml:space="preserve"> </w:t>
      </w:r>
      <w:r w:rsidR="00B619E3" w:rsidRPr="00B619E3">
        <w:rPr>
          <w:lang w:val="en-US"/>
        </w:rPr>
        <w:t>cryo-trapping</w:t>
      </w:r>
      <w:r w:rsidR="00B619E3">
        <w:rPr>
          <w:lang w:val="en-US"/>
        </w:rPr>
        <w:t xml:space="preserve"> </w:t>
      </w:r>
      <w:r w:rsidR="00B619E3" w:rsidRPr="00B619E3">
        <w:rPr>
          <w:i/>
          <w:iCs/>
          <w:lang w:val="en-US"/>
        </w:rPr>
        <w:t>via</w:t>
      </w:r>
      <w:r w:rsidR="00B619E3" w:rsidRPr="00B619E3">
        <w:rPr>
          <w:lang w:val="en-US"/>
        </w:rPr>
        <w:t xml:space="preserve"> ligand binding and conformational changes using three independent </w:t>
      </w:r>
      <w:r w:rsidR="00FC620E">
        <w:rPr>
          <w:lang w:val="en-US"/>
        </w:rPr>
        <w:t xml:space="preserve">protein </w:t>
      </w:r>
      <w:r w:rsidR="00B619E3" w:rsidRPr="00B619E3">
        <w:rPr>
          <w:lang w:val="en-US"/>
        </w:rPr>
        <w:t>model systems:</w:t>
      </w:r>
      <w:r w:rsidR="00B619E3">
        <w:rPr>
          <w:lang w:val="en-US"/>
        </w:rPr>
        <w:t xml:space="preserve"> </w:t>
      </w:r>
      <w:r w:rsidR="0075586B" w:rsidRPr="00B619E3">
        <w:rPr>
          <w:lang w:val="en-US"/>
        </w:rPr>
        <w:t>xylose isomerase</w:t>
      </w:r>
      <w:r w:rsidR="0075586B">
        <w:rPr>
          <w:lang w:val="en-US"/>
        </w:rPr>
        <w:t xml:space="preserve"> (XI), </w:t>
      </w:r>
      <w:r w:rsidR="00B619E3" w:rsidRPr="00B619E3">
        <w:rPr>
          <w:lang w:val="en-US"/>
        </w:rPr>
        <w:t>human insulin</w:t>
      </w:r>
      <w:r w:rsidR="0075586B">
        <w:rPr>
          <w:lang w:val="en-US"/>
        </w:rPr>
        <w:t xml:space="preserve"> (HI) and</w:t>
      </w:r>
      <w:r w:rsidR="00B619E3" w:rsidRPr="00B619E3">
        <w:rPr>
          <w:lang w:val="en-US"/>
        </w:rPr>
        <w:t xml:space="preserve"> bacteriophage T4 lysozyme</w:t>
      </w:r>
      <w:r w:rsidR="0075586B">
        <w:rPr>
          <w:lang w:val="en-US"/>
        </w:rPr>
        <w:t xml:space="preserve"> (T4L)</w:t>
      </w:r>
      <w:r w:rsidR="00B619E3" w:rsidRPr="00B619E3">
        <w:rPr>
          <w:lang w:val="en-US"/>
        </w:rPr>
        <w:t>. Collectively, these</w:t>
      </w:r>
      <w:r w:rsidR="00B619E3">
        <w:rPr>
          <w:lang w:val="en-US"/>
        </w:rPr>
        <w:t xml:space="preserve"> </w:t>
      </w:r>
      <w:r w:rsidR="00B619E3" w:rsidRPr="00B619E3">
        <w:rPr>
          <w:lang w:val="en-US"/>
        </w:rPr>
        <w:t xml:space="preserve">improvements increase the convenient access to cryo-trapping time-resolved crystallography </w:t>
      </w:r>
      <w:r w:rsidR="001A1197">
        <w:rPr>
          <w:lang w:val="en-US"/>
        </w:rPr>
        <w:t>and thus providing</w:t>
      </w:r>
      <w:r w:rsidR="00B619E3" w:rsidRPr="00B619E3">
        <w:rPr>
          <w:lang w:val="en-US"/>
        </w:rPr>
        <w:t xml:space="preserve"> efficient tools to advance</w:t>
      </w:r>
      <w:r w:rsidR="001A1197">
        <w:rPr>
          <w:lang w:val="en-US"/>
        </w:rPr>
        <w:t>d</w:t>
      </w:r>
      <w:r w:rsidR="00B619E3" w:rsidRPr="00B619E3">
        <w:rPr>
          <w:lang w:val="en-US"/>
        </w:rPr>
        <w:t xml:space="preserve"> research in</w:t>
      </w:r>
      <w:r w:rsidR="00D73495">
        <w:rPr>
          <w:lang w:val="en-US"/>
        </w:rPr>
        <w:t xml:space="preserve"> </w:t>
      </w:r>
      <w:r w:rsidR="00B619E3" w:rsidRPr="00B619E3">
        <w:rPr>
          <w:lang w:val="en-US"/>
        </w:rPr>
        <w:t xml:space="preserve">structural </w:t>
      </w:r>
      <w:r w:rsidR="00D37690">
        <w:rPr>
          <w:lang w:val="en-US"/>
        </w:rPr>
        <w:t>enzymology</w:t>
      </w:r>
      <w:r w:rsidR="00B619E3" w:rsidRPr="00B619E3">
        <w:rPr>
          <w:lang w:val="en-US"/>
        </w:rPr>
        <w:t>.</w:t>
      </w:r>
    </w:p>
    <w:p w:rsidR="002A63A3" w:rsidRPr="00FC620E" w:rsidRDefault="002A63A3" w:rsidP="00866C6A">
      <w:pPr>
        <w:rPr>
          <w:lang w:val="en-US"/>
        </w:rPr>
      </w:pPr>
    </w:p>
    <w:p w:rsidR="002A63A3" w:rsidRDefault="000A60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2053618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60F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  <w:r w:rsidR="002A63A3">
        <w:rPr>
          <w:noProof/>
        </w:rPr>
        <w:drawing>
          <wp:inline distT="0" distB="0" distL="0" distR="0">
            <wp:extent cx="5947037" cy="1767041"/>
            <wp:effectExtent l="0" t="0" r="0" b="0"/>
            <wp:docPr id="13732145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14580" name="Picture 137321458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321" cy="180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D9" w:rsidRDefault="00000000">
      <w:pPr>
        <w:pStyle w:val="Heading6"/>
      </w:pPr>
      <w:r>
        <w:rPr>
          <w:b/>
        </w:rPr>
        <w:t>Figure 1</w:t>
      </w:r>
      <w:r>
        <w:t xml:space="preserve">. </w:t>
      </w:r>
      <w:r w:rsidR="00E22C73">
        <w:rPr>
          <w:i/>
          <w:iCs/>
        </w:rPr>
        <w:t>Spitrobot</w:t>
      </w:r>
      <w:r w:rsidR="0075586B" w:rsidRPr="00F72B1A">
        <w:rPr>
          <w:i/>
          <w:iCs/>
        </w:rPr>
        <w:t>-2</w:t>
      </w:r>
      <w:r w:rsidR="0075586B">
        <w:t xml:space="preserve"> cryo</w:t>
      </w:r>
      <w:r w:rsidR="00EF134D">
        <w:t>-</w:t>
      </w:r>
      <w:r w:rsidR="0075586B">
        <w:t xml:space="preserve">trapping process and results: a) Crystals deposited on </w:t>
      </w:r>
      <w:r w:rsidR="00EF134D">
        <w:t xml:space="preserve">a </w:t>
      </w:r>
      <w:r w:rsidR="0075586B">
        <w:t>micro-mesh are treated with the LAMA method for reaction initiation and plunge-frozen in liquid nitrogen after a defined delay time. b) Polder-OMIT maps for the binding events in three protein systems</w:t>
      </w:r>
      <w:r w:rsidR="00EF134D">
        <w:t>:</w:t>
      </w:r>
      <w:r w:rsidR="0075586B">
        <w:t xml:space="preserve"> XI</w:t>
      </w:r>
      <w:r w:rsidR="00F22F09">
        <w:t xml:space="preserve">, HI and T4L </w:t>
      </w:r>
      <w:r w:rsidR="00EF134D">
        <w:t>(</w:t>
      </w:r>
      <w:r w:rsidR="00F22F09">
        <w:t>from left to right</w:t>
      </w:r>
      <w:r w:rsidR="00EF134D">
        <w:t>)</w:t>
      </w:r>
      <w:r w:rsidR="00006E4C">
        <w:t xml:space="preserve"> – </w:t>
      </w:r>
      <w:r w:rsidR="00006E4C" w:rsidRPr="00006E4C">
        <w:rPr>
          <w:i/>
          <w:iCs/>
        </w:rPr>
        <w:t>unpublished data</w:t>
      </w:r>
      <w:r w:rsidR="00006E4C">
        <w:t>.</w:t>
      </w:r>
    </w:p>
    <w:p w:rsidR="00020DA9" w:rsidRPr="00020DA9" w:rsidRDefault="00020DA9" w:rsidP="00020DA9"/>
    <w:p w:rsidR="00FC620E" w:rsidRPr="00FC620E" w:rsidRDefault="00FC620E" w:rsidP="00FC620E">
      <w:pPr>
        <w:pStyle w:val="Bibliography"/>
        <w:rPr>
          <w:sz w:val="18"/>
          <w:lang w:val="de-DE"/>
        </w:rPr>
      </w:pPr>
      <w:r>
        <w:rPr>
          <w:lang w:val="de-DE"/>
        </w:rPr>
        <w:t xml:space="preserve">[1] </w:t>
      </w:r>
      <w:r>
        <w:rPr>
          <w:lang w:val="de-DE"/>
        </w:rPr>
        <w:fldChar w:fldCharType="begin"/>
      </w:r>
      <w:r>
        <w:rPr>
          <w:lang w:val="de-DE"/>
        </w:rPr>
        <w:instrText xml:space="preserve"> ADDIN ZOTERO_BIBL {"uncited":[],"omitted":[],"custom":[]} CSL_BIBLIOGRAPHY </w:instrText>
      </w:r>
      <w:r>
        <w:rPr>
          <w:lang w:val="de-DE"/>
        </w:rPr>
        <w:fldChar w:fldCharType="separate"/>
      </w:r>
      <w:r w:rsidRPr="00FC620E">
        <w:rPr>
          <w:sz w:val="18"/>
          <w:lang w:val="de-DE"/>
        </w:rPr>
        <w:t>Mehrabi, P., Schulz, E. C., Agthe, M., Horrell, S., Bourenkov, G., Von Stetten, D., Leimkohl, J.-P., Schikora, H., Schneider, T. R., Pearson, A.</w:t>
      </w:r>
      <w:r>
        <w:rPr>
          <w:sz w:val="18"/>
          <w:lang w:val="de-DE"/>
        </w:rPr>
        <w:t xml:space="preserve"> </w:t>
      </w:r>
      <w:r w:rsidRPr="00FC620E">
        <w:rPr>
          <w:sz w:val="18"/>
          <w:lang w:val="de-DE"/>
        </w:rPr>
        <w:t xml:space="preserve">R., Tellkamp, F. &amp; Miller, R. J. D. (2019). </w:t>
      </w:r>
      <w:r w:rsidRPr="00FC620E">
        <w:rPr>
          <w:i/>
          <w:iCs/>
          <w:sz w:val="18"/>
          <w:lang w:val="de-DE"/>
        </w:rPr>
        <w:t>Nat Methods</w:t>
      </w:r>
      <w:r w:rsidRPr="00FC620E">
        <w:rPr>
          <w:sz w:val="18"/>
          <w:lang w:val="de-DE"/>
        </w:rPr>
        <w:t xml:space="preserve"> </w:t>
      </w:r>
      <w:r w:rsidRPr="00FC620E">
        <w:rPr>
          <w:b/>
          <w:bCs/>
          <w:sz w:val="18"/>
          <w:lang w:val="de-DE"/>
        </w:rPr>
        <w:t>16</w:t>
      </w:r>
      <w:r w:rsidRPr="00FC620E">
        <w:rPr>
          <w:sz w:val="18"/>
          <w:lang w:val="de-DE"/>
        </w:rPr>
        <w:t>, 979–982.</w:t>
      </w:r>
    </w:p>
    <w:p w:rsidR="00FC620E" w:rsidRPr="00FC620E" w:rsidRDefault="00FC620E" w:rsidP="00FC620E">
      <w:pPr>
        <w:pStyle w:val="Bibliography"/>
        <w:rPr>
          <w:sz w:val="18"/>
          <w:lang w:val="de-DE"/>
        </w:rPr>
      </w:pPr>
      <w:r>
        <w:rPr>
          <w:sz w:val="18"/>
          <w:lang w:val="de-DE"/>
        </w:rPr>
        <w:t xml:space="preserve">[2] </w:t>
      </w:r>
      <w:r w:rsidRPr="00FC620E">
        <w:rPr>
          <w:sz w:val="18"/>
          <w:lang w:val="de-DE"/>
        </w:rPr>
        <w:t xml:space="preserve">Mehrabi, P., Sung, S., Von Stetten, D., Prester, A., Hatton, C. E., Kleine-Döpke, S., Berkes, A., Gore, G., Leimkohl, J.-P., Schikora, H., Kollewe, M., Rohde, H., Wilmanns, M., Tellkamp, F. &amp; Schulz, E. C. (2023). </w:t>
      </w:r>
      <w:r w:rsidRPr="00FC620E">
        <w:rPr>
          <w:i/>
          <w:iCs/>
          <w:sz w:val="18"/>
          <w:lang w:val="de-DE"/>
        </w:rPr>
        <w:t>Nat Commun</w:t>
      </w:r>
      <w:r w:rsidRPr="00FC620E">
        <w:rPr>
          <w:sz w:val="18"/>
          <w:lang w:val="de-DE"/>
        </w:rPr>
        <w:t xml:space="preserve"> </w:t>
      </w:r>
      <w:r w:rsidRPr="00FC620E">
        <w:rPr>
          <w:b/>
          <w:bCs/>
          <w:sz w:val="18"/>
          <w:lang w:val="de-DE"/>
        </w:rPr>
        <w:t>14</w:t>
      </w:r>
      <w:r w:rsidRPr="00FC620E">
        <w:rPr>
          <w:sz w:val="18"/>
          <w:lang w:val="de-DE"/>
        </w:rPr>
        <w:t>, 2365.</w:t>
      </w:r>
      <w:r w:rsidR="00281273">
        <w:rPr>
          <w:sz w:val="18"/>
          <w:lang w:val="de-DE"/>
        </w:rPr>
        <w:t xml:space="preserve">   </w:t>
      </w:r>
    </w:p>
    <w:p w:rsidR="00FC620E" w:rsidRDefault="00FC620E" w:rsidP="00FC620E">
      <w:pPr>
        <w:pStyle w:val="Heading4"/>
        <w:ind w:left="0" w:firstLine="0"/>
      </w:pPr>
      <w:r>
        <w:rPr>
          <w:lang w:val="de-DE"/>
        </w:rPr>
        <w:fldChar w:fldCharType="end"/>
      </w:r>
    </w:p>
    <w:p w:rsidR="00A22DD9" w:rsidRDefault="00A22DD9" w:rsidP="00020DA9">
      <w:pPr>
        <w:pStyle w:val="Heading4"/>
      </w:pPr>
    </w:p>
    <w:sectPr w:rsidR="00A22DD9">
      <w:headerReference w:type="default" r:id="rId12"/>
      <w:footerReference w:type="default" r:id="rId13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7B0" w:rsidRDefault="00A157B0">
      <w:pPr>
        <w:spacing w:after="0"/>
      </w:pPr>
      <w:r>
        <w:separator/>
      </w:r>
    </w:p>
  </w:endnote>
  <w:endnote w:type="continuationSeparator" w:id="0">
    <w:p w:rsidR="00A157B0" w:rsidRDefault="00A15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DD9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:rsidR="00A22DD9" w:rsidRDefault="00A22DD9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7B0" w:rsidRDefault="00A157B0">
      <w:pPr>
        <w:spacing w:after="0"/>
      </w:pPr>
      <w:r>
        <w:separator/>
      </w:r>
    </w:p>
  </w:footnote>
  <w:footnote w:type="continuationSeparator" w:id="0">
    <w:p w:rsidR="00A157B0" w:rsidRDefault="00A157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DD9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 w:rsidR="001A20E0">
      <w:rPr>
        <w:b/>
        <w:bCs/>
      </w:rPr>
      <w:t xml:space="preserve"> M</w:t>
    </w:r>
    <w:r w:rsidR="007F0D40">
      <w:rPr>
        <w:b/>
        <w:bCs/>
      </w:rPr>
      <w:t>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D9"/>
    <w:rsid w:val="00006E4C"/>
    <w:rsid w:val="00020DA9"/>
    <w:rsid w:val="0006141E"/>
    <w:rsid w:val="000A60DE"/>
    <w:rsid w:val="000D7792"/>
    <w:rsid w:val="001A1197"/>
    <w:rsid w:val="001A20E0"/>
    <w:rsid w:val="001D30A7"/>
    <w:rsid w:val="00231D35"/>
    <w:rsid w:val="00281273"/>
    <w:rsid w:val="002A63A3"/>
    <w:rsid w:val="003353A5"/>
    <w:rsid w:val="003E5907"/>
    <w:rsid w:val="00401377"/>
    <w:rsid w:val="00423C7E"/>
    <w:rsid w:val="004430FE"/>
    <w:rsid w:val="00503463"/>
    <w:rsid w:val="00516A28"/>
    <w:rsid w:val="00524922"/>
    <w:rsid w:val="005914EA"/>
    <w:rsid w:val="00606778"/>
    <w:rsid w:val="006C4BF9"/>
    <w:rsid w:val="006F503F"/>
    <w:rsid w:val="0075586B"/>
    <w:rsid w:val="0077277F"/>
    <w:rsid w:val="00797138"/>
    <w:rsid w:val="007F0D40"/>
    <w:rsid w:val="007F5FA4"/>
    <w:rsid w:val="00824BE3"/>
    <w:rsid w:val="00866C6A"/>
    <w:rsid w:val="008676F5"/>
    <w:rsid w:val="008E101E"/>
    <w:rsid w:val="008F358B"/>
    <w:rsid w:val="009230C2"/>
    <w:rsid w:val="00A157B0"/>
    <w:rsid w:val="00A203A4"/>
    <w:rsid w:val="00A22DD9"/>
    <w:rsid w:val="00AB5ECB"/>
    <w:rsid w:val="00AE75C5"/>
    <w:rsid w:val="00B47355"/>
    <w:rsid w:val="00B619E3"/>
    <w:rsid w:val="00BC0D38"/>
    <w:rsid w:val="00C0528A"/>
    <w:rsid w:val="00C51D6F"/>
    <w:rsid w:val="00C63805"/>
    <w:rsid w:val="00CA3397"/>
    <w:rsid w:val="00D37690"/>
    <w:rsid w:val="00D73495"/>
    <w:rsid w:val="00D77A04"/>
    <w:rsid w:val="00E22C73"/>
    <w:rsid w:val="00EF134D"/>
    <w:rsid w:val="00F027E8"/>
    <w:rsid w:val="00F22F09"/>
    <w:rsid w:val="00F72B1A"/>
    <w:rsid w:val="00FC620E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8555"/>
  <w15:docId w15:val="{9719AAF5-F26F-884E-AD15-F93E33A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FC620E"/>
    <w:pPr>
      <w:spacing w:after="240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E22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djof.tellkamp@mpsd.mpg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spiliopoulou@uke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c.schulz@uk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dram.mehrabi@uni-hambur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Mary Spiliopoulou</cp:lastModifiedBy>
  <cp:revision>3</cp:revision>
  <dcterms:created xsi:type="dcterms:W3CDTF">2025-08-18T11:09:00Z</dcterms:created>
  <dcterms:modified xsi:type="dcterms:W3CDTF">2025-08-18T11:13:00Z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OTERO_PREF_1">
    <vt:lpwstr>&lt;data data-version="3" zotero-version="6.0.37"&gt;&lt;session id="UXT439Xq"/&gt;&lt;style id="http://www.zotero.org/styles/journal-of-applied-crystallography" hasBibliography="1" bibliographyStyleHasBeenSet="1"/&gt;&lt;prefs&gt;&lt;pref name="fieldType" value="Field"/&gt;&lt;/prefs&gt;&lt;/</vt:lpwstr>
  </property>
  <property fmtid="{D5CDD505-2E9C-101B-9397-08002B2CF9AE}" pid="7" name="ZOTERO_PREF_2">
    <vt:lpwstr>data&gt;</vt:lpwstr>
  </property>
</Properties>
</file>