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322F8" w14:textId="051E5413" w:rsidR="006706F6" w:rsidRPr="009E3D94" w:rsidRDefault="00F904EC" w:rsidP="009E3D94">
      <w:pPr>
        <w:pStyle w:val="Heading2"/>
      </w:pPr>
      <w:r>
        <w:rPr>
          <w:bCs w:val="0"/>
          <w:iCs w:val="0"/>
          <w:sz w:val="24"/>
          <w:szCs w:val="24"/>
        </w:rPr>
        <w:t xml:space="preserve">The </w:t>
      </w:r>
      <w:r w:rsidR="00DD4F3B">
        <w:rPr>
          <w:bCs w:val="0"/>
          <w:iCs w:val="0"/>
          <w:sz w:val="24"/>
          <w:szCs w:val="24"/>
        </w:rPr>
        <w:t>i</w:t>
      </w:r>
      <w:r>
        <w:rPr>
          <w:bCs w:val="0"/>
          <w:iCs w:val="0"/>
          <w:sz w:val="24"/>
          <w:szCs w:val="24"/>
        </w:rPr>
        <w:t xml:space="preserve">mpact of </w:t>
      </w:r>
      <w:r w:rsidR="00DD4F3B">
        <w:rPr>
          <w:bCs w:val="0"/>
          <w:iCs w:val="0"/>
          <w:sz w:val="24"/>
          <w:szCs w:val="24"/>
        </w:rPr>
        <w:t>r</w:t>
      </w:r>
      <w:r w:rsidRPr="00F904EC">
        <w:rPr>
          <w:bCs w:val="0"/>
          <w:iCs w:val="0"/>
          <w:sz w:val="24"/>
          <w:szCs w:val="24"/>
        </w:rPr>
        <w:t xml:space="preserve">eaction </w:t>
      </w:r>
      <w:r w:rsidR="00DD4F3B">
        <w:rPr>
          <w:bCs w:val="0"/>
          <w:iCs w:val="0"/>
          <w:sz w:val="24"/>
          <w:szCs w:val="24"/>
        </w:rPr>
        <w:t>c</w:t>
      </w:r>
      <w:r w:rsidRPr="00F904EC">
        <w:rPr>
          <w:bCs w:val="0"/>
          <w:iCs w:val="0"/>
          <w:sz w:val="24"/>
          <w:szCs w:val="24"/>
        </w:rPr>
        <w:t>ondition</w:t>
      </w:r>
      <w:r>
        <w:rPr>
          <w:bCs w:val="0"/>
          <w:iCs w:val="0"/>
          <w:sz w:val="24"/>
          <w:szCs w:val="24"/>
        </w:rPr>
        <w:t>s</w:t>
      </w:r>
      <w:r w:rsidRPr="00F904EC">
        <w:rPr>
          <w:bCs w:val="0"/>
          <w:iCs w:val="0"/>
          <w:sz w:val="24"/>
          <w:szCs w:val="24"/>
        </w:rPr>
        <w:t xml:space="preserve"> in the </w:t>
      </w:r>
      <w:r w:rsidR="00DD4F3B">
        <w:rPr>
          <w:bCs w:val="0"/>
          <w:iCs w:val="0"/>
          <w:sz w:val="24"/>
          <w:szCs w:val="24"/>
        </w:rPr>
        <w:t>c</w:t>
      </w:r>
      <w:r w:rsidRPr="00F904EC">
        <w:rPr>
          <w:bCs w:val="0"/>
          <w:iCs w:val="0"/>
          <w:sz w:val="24"/>
          <w:szCs w:val="24"/>
        </w:rPr>
        <w:t xml:space="preserve">o-crystallization of </w:t>
      </w:r>
      <w:r w:rsidR="00DD4F3B">
        <w:rPr>
          <w:bCs w:val="0"/>
          <w:iCs w:val="0"/>
          <w:sz w:val="24"/>
          <w:szCs w:val="24"/>
        </w:rPr>
        <w:t>m</w:t>
      </w:r>
      <w:r w:rsidRPr="00F904EC">
        <w:rPr>
          <w:bCs w:val="0"/>
          <w:iCs w:val="0"/>
          <w:sz w:val="24"/>
          <w:szCs w:val="24"/>
        </w:rPr>
        <w:t xml:space="preserve">odified </w:t>
      </w:r>
      <w:r w:rsidR="00DD4F3B">
        <w:rPr>
          <w:bCs w:val="0"/>
          <w:iCs w:val="0"/>
          <w:sz w:val="24"/>
          <w:szCs w:val="24"/>
        </w:rPr>
        <w:t>i</w:t>
      </w:r>
      <w:r w:rsidRPr="00F904EC">
        <w:rPr>
          <w:bCs w:val="0"/>
          <w:iCs w:val="0"/>
          <w:sz w:val="24"/>
          <w:szCs w:val="24"/>
        </w:rPr>
        <w:t xml:space="preserve">soniazid </w:t>
      </w:r>
      <w:r w:rsidR="00DD4F3B">
        <w:rPr>
          <w:bCs w:val="0"/>
          <w:iCs w:val="0"/>
          <w:sz w:val="24"/>
          <w:szCs w:val="24"/>
        </w:rPr>
        <w:t>c</w:t>
      </w:r>
      <w:r w:rsidRPr="00F904EC">
        <w:rPr>
          <w:bCs w:val="0"/>
          <w:iCs w:val="0"/>
          <w:sz w:val="24"/>
          <w:szCs w:val="24"/>
        </w:rPr>
        <w:t>ompounds</w:t>
      </w:r>
      <w:r w:rsidR="007F6533" w:rsidRPr="009E3D94">
        <w:t xml:space="preserve"> </w:t>
      </w:r>
      <w:r w:rsidR="009B1628" w:rsidRPr="009E3D94">
        <w:t>Mark G. Smith</w:t>
      </w:r>
      <w:r w:rsidR="007F6533" w:rsidRPr="009E3D94">
        <w:rPr>
          <w:vertAlign w:val="superscript"/>
        </w:rPr>
        <w:t>1</w:t>
      </w:r>
      <w:r w:rsidR="007F6533" w:rsidRPr="009E3D94">
        <w:t xml:space="preserve">, </w:t>
      </w:r>
      <w:r w:rsidR="009B1628" w:rsidRPr="009E3D94">
        <w:t>Andreas Lemmerer</w:t>
      </w:r>
      <w:r w:rsidR="007F6533" w:rsidRPr="009E3D94">
        <w:rPr>
          <w:vertAlign w:val="superscript"/>
        </w:rPr>
        <w:t>2</w:t>
      </w:r>
      <w:r w:rsidR="007F6533" w:rsidRPr="009E3D94">
        <w:t xml:space="preserve"> </w:t>
      </w:r>
    </w:p>
    <w:p w14:paraId="767148E0" w14:textId="1D88B725" w:rsidR="006706F6" w:rsidRPr="009E3D94" w:rsidRDefault="007F6533" w:rsidP="009E3D94">
      <w:pPr>
        <w:pStyle w:val="Heading3"/>
      </w:pPr>
      <w:r w:rsidRPr="009E3D94">
        <w:t>1</w:t>
      </w:r>
      <w:r w:rsidR="009B1628" w:rsidRPr="009E3D94">
        <w:t>Department of Chemistry, University of South Africa, Florida, Johannesburg, South Africa;</w:t>
      </w:r>
      <w:r w:rsidR="009B1628" w:rsidRPr="009E3D94">
        <w:br/>
      </w:r>
      <w:r w:rsidRPr="009E3D94">
        <w:t xml:space="preserve"> 2</w:t>
      </w:r>
      <w:r w:rsidR="009B1628" w:rsidRPr="009E3D94">
        <w:t>Molecular Sciences Institute, School of Chemistry, University of the Witwatersrand, South Africa</w:t>
      </w:r>
    </w:p>
    <w:p w14:paraId="7305AFD5" w14:textId="2F75B310" w:rsidR="006706F6" w:rsidRDefault="009B1628" w:rsidP="009E3D94">
      <w:pPr>
        <w:pStyle w:val="Heading3"/>
        <w:rPr>
          <w:sz w:val="18"/>
          <w:szCs w:val="18"/>
        </w:rPr>
      </w:pPr>
      <w:r w:rsidRPr="009E3D94">
        <w:t>smithm2@unisa.ac.za</w:t>
      </w:r>
      <w:r w:rsidR="007F6533">
        <w:rPr>
          <w:lang w:eastAsia="de-DE"/>
        </w:rPr>
        <w:br/>
      </w:r>
    </w:p>
    <w:p w14:paraId="4D6B9301" w14:textId="67B8B5FA" w:rsidR="00DD4F3B" w:rsidRPr="00DD4F3B" w:rsidRDefault="00DD4F3B" w:rsidP="00DD4F3B">
      <w:pPr>
        <w:rPr>
          <w:lang w:val="en-US"/>
        </w:rPr>
      </w:pPr>
      <w:r w:rsidRPr="00DD4F3B">
        <w:rPr>
          <w:lang w:val="en-US"/>
        </w:rPr>
        <w:t>The formation of co-crystals involving covalently modified isoniazid and hydroxybenzoic acid co-formers has been found to depend on reaction conditions</w:t>
      </w:r>
      <w:r w:rsidR="00AF5986">
        <w:rPr>
          <w:lang w:val="en-US"/>
        </w:rPr>
        <w:t>, rather than crystallization conditions</w:t>
      </w:r>
      <w:r w:rsidRPr="00DD4F3B">
        <w:rPr>
          <w:lang w:val="en-US"/>
        </w:rPr>
        <w:t xml:space="preserve">. </w:t>
      </w:r>
      <w:proofErr w:type="gramStart"/>
      <w:r w:rsidRPr="00DD4F3B">
        <w:rPr>
          <w:lang w:val="en-US"/>
        </w:rPr>
        <w:t>In particular,</w:t>
      </w:r>
      <w:r>
        <w:rPr>
          <w:lang w:val="en-US"/>
        </w:rPr>
        <w:t xml:space="preserve"> </w:t>
      </w:r>
      <w:r w:rsidRPr="00DD4F3B">
        <w:rPr>
          <w:lang w:val="en-US"/>
        </w:rPr>
        <w:t>benzophenone-substituted</w:t>
      </w:r>
      <w:proofErr w:type="gramEnd"/>
      <w:r w:rsidRPr="00DD4F3B">
        <w:rPr>
          <w:lang w:val="en-US"/>
        </w:rPr>
        <w:t xml:space="preserve"> isoniazid compounds displayed variable supramolecular outcomes based on subtle </w:t>
      </w:r>
      <w:r>
        <w:rPr>
          <w:lang w:val="en-US"/>
        </w:rPr>
        <w:t>experimental</w:t>
      </w:r>
      <w:r w:rsidRPr="00DD4F3B">
        <w:rPr>
          <w:lang w:val="en-US"/>
        </w:rPr>
        <w:t xml:space="preserve"> changes. The incorporation of one or two methyl groups on the benzophenone moiety led to the formation of isostructural co-crystals, showing that small molecular modifications </w:t>
      </w:r>
      <w:r w:rsidR="00AF5986">
        <w:rPr>
          <w:lang w:val="en-US"/>
        </w:rPr>
        <w:t xml:space="preserve">do not necessarily change </w:t>
      </w:r>
      <w:r>
        <w:rPr>
          <w:lang w:val="en-US"/>
        </w:rPr>
        <w:t>the supramolecular structure</w:t>
      </w:r>
    </w:p>
    <w:p w14:paraId="32F36422" w14:textId="2FAB15CF" w:rsidR="00DD4F3B" w:rsidRPr="00DD4F3B" w:rsidRDefault="00DD4F3B" w:rsidP="00DD4F3B">
      <w:pPr>
        <w:rPr>
          <w:lang w:val="en-US"/>
        </w:rPr>
      </w:pPr>
      <w:r w:rsidRPr="00DD4F3B">
        <w:rPr>
          <w:lang w:val="en-US"/>
        </w:rPr>
        <w:t>Adjusting the reflux duration during crystallization altered the stoichiometry of the products, while adding excess quantities of a starting material produced distinct polymorphic outcomes. When an acid catalyst was included in a one-pot synthesis, solvate formation was successfully suppressed. Further, a comparison between mechanochemical and reflux-based methods revealed that the choice of synthetic route could influence polymorph expression.</w:t>
      </w:r>
      <w:r w:rsidR="00AF5986" w:rsidRPr="00AF5986">
        <w:rPr>
          <w:lang w:val="en-US"/>
        </w:rPr>
        <w:t xml:space="preserve"> </w:t>
      </w:r>
      <w:r w:rsidR="00AF5986" w:rsidRPr="00DD4F3B">
        <w:rPr>
          <w:lang w:val="en-US"/>
        </w:rPr>
        <w:t>Unexpectedly, sunlight exposure initiated free radical polymerization</w:t>
      </w:r>
      <w:r w:rsidR="00AF5986">
        <w:rPr>
          <w:lang w:val="en-US"/>
        </w:rPr>
        <w:t>.</w:t>
      </w:r>
    </w:p>
    <w:p w14:paraId="3E552CDE" w14:textId="74C624CB" w:rsidR="00DD4F3B" w:rsidRPr="00DD4F3B" w:rsidRDefault="00DD4F3B" w:rsidP="00DD4F3B">
      <w:pPr>
        <w:rPr>
          <w:lang w:val="en-US"/>
        </w:rPr>
      </w:pPr>
      <w:r w:rsidRPr="00DD4F3B">
        <w:rPr>
          <w:lang w:val="en-US"/>
        </w:rPr>
        <w:t xml:space="preserve">This presentation will showcase several case studies where minor changes to </w:t>
      </w:r>
      <w:r w:rsidR="00AF5986">
        <w:rPr>
          <w:lang w:val="en-US"/>
        </w:rPr>
        <w:t>reaction</w:t>
      </w:r>
      <w:r w:rsidRPr="00DD4F3B">
        <w:rPr>
          <w:lang w:val="en-US"/>
        </w:rPr>
        <w:t xml:space="preserve"> parameters led to significant differences in </w:t>
      </w:r>
      <w:r w:rsidR="00AF5986">
        <w:rPr>
          <w:lang w:val="en-US"/>
        </w:rPr>
        <w:t>supramolecular</w:t>
      </w:r>
      <w:r w:rsidRPr="00DD4F3B">
        <w:rPr>
          <w:lang w:val="en-US"/>
        </w:rPr>
        <w:t xml:space="preserve"> structure, emphasizing the delicate balance governing supramolecular synthesis.</w:t>
      </w:r>
    </w:p>
    <w:p w14:paraId="5EC8129B" w14:textId="77777777" w:rsidR="00F904EC" w:rsidRDefault="00F904EC" w:rsidP="006A16F6">
      <w:pPr>
        <w:rPr>
          <w:lang w:val="es-ES"/>
        </w:rPr>
      </w:pPr>
    </w:p>
    <w:p w14:paraId="0A88A0C2" w14:textId="2F0030DD" w:rsidR="006706F6" w:rsidRPr="00841507" w:rsidRDefault="008638B1">
      <w:pPr>
        <w:jc w:val="center"/>
      </w:pPr>
      <w:r w:rsidRPr="0084150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A2D9F6" wp14:editId="1B621D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66498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D4052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4D6A74" w:rsidRPr="004D6A74">
        <w:rPr>
          <w:noProof/>
        </w:rPr>
        <w:t xml:space="preserve"> </w:t>
      </w:r>
      <w:r w:rsidR="004D6A74" w:rsidRPr="004D6A74">
        <w:rPr>
          <w:noProof/>
        </w:rPr>
        <w:drawing>
          <wp:inline distT="0" distB="0" distL="0" distR="0" wp14:anchorId="532D511D" wp14:editId="611C2E97">
            <wp:extent cx="2381250" cy="2276376"/>
            <wp:effectExtent l="0" t="0" r="0" b="0"/>
            <wp:docPr id="16890005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00055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6951" cy="230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6A74" w:rsidRPr="004D6A74">
        <w:rPr>
          <w:noProof/>
        </w:rPr>
        <w:t xml:space="preserve"> </w:t>
      </w:r>
    </w:p>
    <w:p w14:paraId="368BEDE5" w14:textId="018832F9" w:rsidR="006706F6" w:rsidRPr="00841507" w:rsidRDefault="007F6533">
      <w:pPr>
        <w:pStyle w:val="Heading6"/>
      </w:pPr>
      <w:r w:rsidRPr="00841507">
        <w:rPr>
          <w:b/>
        </w:rPr>
        <w:t>Figure 1</w:t>
      </w:r>
      <w:r w:rsidRPr="00841507">
        <w:t xml:space="preserve">. </w:t>
      </w:r>
      <w:r w:rsidR="0041261C" w:rsidRPr="0041261C">
        <w:t xml:space="preserve">Change in reaction conditions resulted in </w:t>
      </w:r>
      <w:r w:rsidR="00255884">
        <w:t xml:space="preserve">structural and </w:t>
      </w:r>
      <w:r w:rsidR="0041261C" w:rsidRPr="0041261C">
        <w:t>stoichiometric variation</w:t>
      </w:r>
      <w:r w:rsidR="00255884">
        <w:t>s</w:t>
      </w:r>
      <w:r w:rsidR="0041261C" w:rsidRPr="0041261C">
        <w:t xml:space="preserve"> [1]</w:t>
      </w:r>
      <w:r w:rsidRPr="00841507">
        <w:t>.</w:t>
      </w:r>
    </w:p>
    <w:p w14:paraId="3132459B" w14:textId="77777777" w:rsidR="006706F6" w:rsidRPr="00841507" w:rsidRDefault="006706F6">
      <w:pPr>
        <w:rPr>
          <w:lang w:eastAsia="cs-CZ"/>
        </w:rPr>
      </w:pPr>
    </w:p>
    <w:p w14:paraId="6799182F" w14:textId="7DFD9434" w:rsidR="006706F6" w:rsidRDefault="007F6533">
      <w:pPr>
        <w:pStyle w:val="Heading4"/>
        <w:rPr>
          <w:lang w:val="es-ES"/>
        </w:rPr>
      </w:pPr>
      <w:r w:rsidRPr="00841507">
        <w:t xml:space="preserve">[1] </w:t>
      </w:r>
      <w:r w:rsidR="0041261C">
        <w:rPr>
          <w:lang w:val="es-ES"/>
        </w:rPr>
        <w:t xml:space="preserve">Smith, MG.; Lemmerer, A.; </w:t>
      </w:r>
      <w:proofErr w:type="spellStart"/>
      <w:r w:rsidR="0041261C" w:rsidRPr="0041261C">
        <w:rPr>
          <w:i/>
          <w:iCs/>
          <w:lang w:val="es-ES"/>
        </w:rPr>
        <w:t>Cryst</w:t>
      </w:r>
      <w:proofErr w:type="spellEnd"/>
      <w:r w:rsidR="0041261C" w:rsidRPr="0041261C">
        <w:rPr>
          <w:i/>
          <w:iCs/>
          <w:lang w:val="es-ES"/>
        </w:rPr>
        <w:t xml:space="preserve">. </w:t>
      </w:r>
      <w:proofErr w:type="spellStart"/>
      <w:r w:rsidR="0041261C" w:rsidRPr="0041261C">
        <w:rPr>
          <w:i/>
          <w:iCs/>
          <w:lang w:val="es-ES"/>
        </w:rPr>
        <w:t>Growth</w:t>
      </w:r>
      <w:proofErr w:type="spellEnd"/>
      <w:r w:rsidR="0041261C" w:rsidRPr="0041261C">
        <w:rPr>
          <w:i/>
          <w:iCs/>
          <w:lang w:val="es-ES"/>
        </w:rPr>
        <w:t xml:space="preserve"> Des.</w:t>
      </w:r>
      <w:r w:rsidR="0041261C" w:rsidRPr="00CF6BCA">
        <w:rPr>
          <w:lang w:val="es-ES"/>
        </w:rPr>
        <w:t xml:space="preserve"> </w:t>
      </w:r>
      <w:r w:rsidR="0041261C">
        <w:rPr>
          <w:lang w:val="es-ES"/>
        </w:rPr>
        <w:t>(</w:t>
      </w:r>
      <w:r w:rsidR="0041261C" w:rsidRPr="00CF6BCA">
        <w:rPr>
          <w:lang w:val="es-ES"/>
        </w:rPr>
        <w:t>2018</w:t>
      </w:r>
      <w:r w:rsidR="0041261C">
        <w:rPr>
          <w:lang w:val="es-ES"/>
        </w:rPr>
        <w:t>)</w:t>
      </w:r>
      <w:r w:rsidR="0041261C" w:rsidRPr="00CF6BCA">
        <w:rPr>
          <w:lang w:val="es-ES"/>
        </w:rPr>
        <w:t xml:space="preserve">, </w:t>
      </w:r>
      <w:r w:rsidR="0041261C" w:rsidRPr="0041261C">
        <w:rPr>
          <w:b/>
          <w:bCs w:val="0"/>
          <w:lang w:val="es-ES"/>
        </w:rPr>
        <w:t>18</w:t>
      </w:r>
      <w:r w:rsidR="0041261C" w:rsidRPr="00CF6BCA">
        <w:rPr>
          <w:lang w:val="es-ES"/>
        </w:rPr>
        <w:t>, 4777-4789</w:t>
      </w:r>
    </w:p>
    <w:p w14:paraId="27A43A4F" w14:textId="0056B198" w:rsidR="00AA2EB7" w:rsidRPr="00AA2EB7" w:rsidRDefault="00AA2EB7" w:rsidP="00AA2EB7">
      <w:pPr>
        <w:rPr>
          <w:lang w:val="es-ES" w:eastAsia="cs-CZ"/>
        </w:rPr>
      </w:pPr>
      <w:r>
        <w:rPr>
          <w:lang w:val="es-ES" w:eastAsia="cs-CZ"/>
        </w:rPr>
        <w:t xml:space="preserve">[2] Smith, MG.; Lemmerer, A; </w:t>
      </w:r>
      <w:proofErr w:type="spellStart"/>
      <w:proofErr w:type="gramStart"/>
      <w:r w:rsidRPr="00AA2EB7">
        <w:rPr>
          <w:i/>
          <w:iCs/>
          <w:lang w:val="es-ES" w:eastAsia="cs-CZ"/>
        </w:rPr>
        <w:t>J.Mol</w:t>
      </w:r>
      <w:proofErr w:type="spellEnd"/>
      <w:proofErr w:type="gramEnd"/>
      <w:r w:rsidRPr="00AA2EB7">
        <w:rPr>
          <w:i/>
          <w:iCs/>
          <w:lang w:val="es-ES" w:eastAsia="cs-CZ"/>
        </w:rPr>
        <w:t xml:space="preserve">. </w:t>
      </w:r>
      <w:proofErr w:type="spellStart"/>
      <w:r w:rsidRPr="00AA2EB7">
        <w:rPr>
          <w:i/>
          <w:iCs/>
          <w:lang w:val="es-ES" w:eastAsia="cs-CZ"/>
        </w:rPr>
        <w:t>Struct</w:t>
      </w:r>
      <w:proofErr w:type="spellEnd"/>
      <w:r>
        <w:rPr>
          <w:lang w:val="es-ES" w:eastAsia="cs-CZ"/>
        </w:rPr>
        <w:t xml:space="preserve">. (2019), </w:t>
      </w:r>
      <w:r w:rsidRPr="00AA2EB7">
        <w:rPr>
          <w:b/>
          <w:bCs/>
          <w:lang w:val="es-ES" w:eastAsia="cs-CZ"/>
        </w:rPr>
        <w:t>1179</w:t>
      </w:r>
      <w:r>
        <w:rPr>
          <w:lang w:val="es-ES" w:eastAsia="cs-CZ"/>
        </w:rPr>
        <w:t>, 132-144</w:t>
      </w:r>
    </w:p>
    <w:sectPr w:rsidR="00AA2EB7" w:rsidRPr="00AA2EB7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7EC6C" w14:textId="77777777" w:rsidR="00B1456A" w:rsidRDefault="00B1456A">
      <w:pPr>
        <w:spacing w:after="0"/>
      </w:pPr>
      <w:r>
        <w:separator/>
      </w:r>
    </w:p>
  </w:endnote>
  <w:endnote w:type="continuationSeparator" w:id="0">
    <w:p w14:paraId="0954D0D8" w14:textId="77777777" w:rsidR="00B1456A" w:rsidRDefault="00B145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2334F" w14:textId="77777777" w:rsidR="006706F6" w:rsidRDefault="006706F6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B75E8" w14:textId="77777777" w:rsidR="00B1456A" w:rsidRDefault="00B1456A">
      <w:pPr>
        <w:spacing w:after="0"/>
      </w:pPr>
      <w:r>
        <w:separator/>
      </w:r>
    </w:p>
  </w:footnote>
  <w:footnote w:type="continuationSeparator" w:id="0">
    <w:p w14:paraId="0422BD19" w14:textId="77777777" w:rsidR="00B1456A" w:rsidRDefault="00B145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E13D3" w14:textId="35BFBE74" w:rsidR="006706F6" w:rsidRDefault="007F6533">
    <w:pPr>
      <w:tabs>
        <w:tab w:val="center" w:pos="4703"/>
        <w:tab w:val="right" w:pos="9406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F6"/>
    <w:rsid w:val="00043151"/>
    <w:rsid w:val="001219CF"/>
    <w:rsid w:val="001D53B8"/>
    <w:rsid w:val="002011CD"/>
    <w:rsid w:val="00255884"/>
    <w:rsid w:val="003304A0"/>
    <w:rsid w:val="0041261C"/>
    <w:rsid w:val="00471DE3"/>
    <w:rsid w:val="004D6A74"/>
    <w:rsid w:val="005976AC"/>
    <w:rsid w:val="00651068"/>
    <w:rsid w:val="00665528"/>
    <w:rsid w:val="006706F6"/>
    <w:rsid w:val="006A16F6"/>
    <w:rsid w:val="007F6533"/>
    <w:rsid w:val="0081725B"/>
    <w:rsid w:val="00841507"/>
    <w:rsid w:val="008638B1"/>
    <w:rsid w:val="008D66BC"/>
    <w:rsid w:val="009B1628"/>
    <w:rsid w:val="009E3D94"/>
    <w:rsid w:val="00AA2EB7"/>
    <w:rsid w:val="00AE3337"/>
    <w:rsid w:val="00AF5986"/>
    <w:rsid w:val="00B11B69"/>
    <w:rsid w:val="00B1456A"/>
    <w:rsid w:val="00BD5480"/>
    <w:rsid w:val="00BF0BD2"/>
    <w:rsid w:val="00CA06C1"/>
    <w:rsid w:val="00DD4F3B"/>
    <w:rsid w:val="00F904EC"/>
    <w:rsid w:val="00FA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778DF"/>
  <w15:docId w15:val="{A4B9A02D-C9BC-4AD3-A4A2-5C93B31B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Smith, Mark</cp:lastModifiedBy>
  <cp:revision>6</cp:revision>
  <dcterms:created xsi:type="dcterms:W3CDTF">2025-04-30T13:17:00Z</dcterms:created>
  <dcterms:modified xsi:type="dcterms:W3CDTF">2025-04-30T14:58:00Z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