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jc w:val="center"/>
        <w:rPr/>
      </w:pPr>
      <w:r>
        <w:rPr/>
        <w:t xml:space="preserve">The </w:t>
      </w:r>
      <w:r>
        <w:rPr/>
        <w:t>o</w:t>
      </w:r>
      <w:r>
        <w:rPr/>
        <w:t xml:space="preserve">rigin of </w:t>
      </w:r>
      <w:r>
        <w:rPr/>
        <w:t>b</w:t>
      </w:r>
      <w:r>
        <w:rPr/>
        <w:t xml:space="preserve">iological </w:t>
      </w:r>
      <w:r>
        <w:rPr/>
        <w:t>h</w:t>
      </w:r>
      <w:r>
        <w:rPr/>
        <w:t xml:space="preserve">omochirality: </w:t>
      </w:r>
      <w:r>
        <w:rPr/>
        <w:t>a</w:t>
      </w:r>
      <w:r>
        <w:rPr/>
        <w:t xml:space="preserve">symmetry </w:t>
      </w:r>
      <w:r>
        <w:rPr/>
        <w:t>b</w:t>
      </w:r>
      <w:r>
        <w:rPr/>
        <w:t xml:space="preserve">etween RNA </w:t>
      </w:r>
      <w:r>
        <w:rPr/>
        <w:t>e</w:t>
      </w:r>
      <w:r>
        <w:rPr/>
        <w:t xml:space="preserve">nantiomers in a </w:t>
      </w:r>
      <w:r>
        <w:rPr/>
        <w:t>c</w:t>
      </w:r>
      <w:r>
        <w:rPr/>
        <w:t xml:space="preserve">rystal </w:t>
      </w:r>
      <w:r>
        <w:rPr/>
        <w:t>l</w:t>
      </w:r>
      <w:r>
        <w:rPr/>
        <w:t>attice</w:t>
      </w:r>
    </w:p>
    <w:p>
      <w:pPr>
        <w:pStyle w:val="Heading2"/>
        <w:rPr/>
      </w:pPr>
      <w:r>
        <w:rPr/>
        <w:t>A. Kiliszek and W. Rypniewski</w:t>
      </w:r>
    </w:p>
    <w:p>
      <w:pPr>
        <w:pStyle w:val="Heading3"/>
        <w:rPr/>
      </w:pPr>
      <w:r>
        <w:rPr>
          <w:vertAlign w:val="superscript"/>
        </w:rPr>
        <w:t>1</w:t>
      </w:r>
      <w:r>
        <w:rPr/>
        <w:t xml:space="preserve">Institute of Bioorganic Chemistry Polish Academy of Sciences, Noskowskiego 12/14, 61-704 Poznan, </w:t>
      </w:r>
      <w:r>
        <w:rPr/>
        <w:t>Poland</w:t>
      </w:r>
    </w:p>
    <w:p>
      <w:pPr>
        <w:pStyle w:val="Heading3"/>
        <w:rPr>
          <w:sz w:val="18"/>
          <w:szCs w:val="18"/>
        </w:rPr>
      </w:pPr>
      <w:r>
        <w:rPr>
          <w:lang w:eastAsia="de-DE"/>
        </w:rPr>
        <w:t>kiliszek@ibch.poznan.pl</w:t>
      </w:r>
      <w:r>
        <w:rPr>
          <w:lang w:eastAsia="de-DE"/>
        </w:rPr>
        <w:br/>
      </w:r>
    </w:p>
    <w:p>
      <w:pPr>
        <w:pStyle w:val="BodyText"/>
        <w:rPr/>
      </w:pPr>
      <w:r>
        <w:rPr/>
        <w:t xml:space="preserve">Elucidating the origin of the homochirality of biological molecules necessitates a mechanism that disrupts the natural equilibrium between enantiomers and amplifies the initial imbalance to significant levels. Authors of existing models have sought explanations in the parity-breaking weak nuclear force, in selectively acting external factors, or in random fluctuations that subsequently became amplified by an autocatalytic process </w:t>
      </w:r>
      <w:r>
        <w:rPr/>
        <w:t>[1, 2]</w:t>
      </w:r>
      <w:r>
        <w:rPr/>
        <w:t xml:space="preserve">. We have obtained crystals in which L- and D-enantiomers of short RNA duplexes assemble asymmetrically </w:t>
      </w:r>
      <w:r>
        <w:rPr/>
        <w:t>(Fig. 1)</w:t>
      </w:r>
      <w:r>
        <w:rPr/>
        <w:t xml:space="preserve"> </w:t>
      </w:r>
      <w:r>
        <w:rPr/>
        <w:t>[3]</w:t>
      </w:r>
      <w:r>
        <w:rPr/>
        <w:t>. These enantiomers form different lattice contacts and exhibit varying exposures to water and metal ions present in the crystal. It appears that asymmetry between enantiomers can arise from their mutual interactions and subsequently propagate through crystallization. Asymmetric racemic compounds merit consideration as potential factors in symmetry breaking and enantioenrichment that occurred in the early biosphere.</w:t>
      </w:r>
    </w:p>
    <w:p>
      <w:pPr>
        <w:pStyle w:val="Normal"/>
        <w:rPr/>
      </w:pPr>
      <w:r>
        <w:rPr/>
      </w:r>
    </w:p>
    <w:p>
      <w:pPr>
        <w:pStyle w:val="Normal"/>
        <w:rPr/>
      </w:pPr>
      <w:r>
        <w:rPr/>
      </w:r>
    </w:p>
    <w:p>
      <w:pPr>
        <w:pStyle w:val="Normal"/>
        <w:rPr/>
      </w:pPr>
      <w:r>
        <w:rPr/>
      </w:r>
    </w:p>
    <w:p>
      <w:pPr>
        <w:pStyle w:val="Normal"/>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074920" cy="1810385"/>
            <wp:effectExtent l="0" t="0" r="0" b="0"/>
            <wp:wrapTopAndBottom/>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5074920" cy="1810385"/>
                    </a:xfrm>
                    <a:prstGeom prst="rect">
                      <a:avLst/>
                    </a:prstGeom>
                    <a:noFill/>
                  </pic:spPr>
                </pic:pic>
              </a:graphicData>
            </a:graphic>
          </wp:anchor>
        </w:drawing>
      </w:r>
    </w:p>
    <w:p>
      <w:pPr>
        <w:pStyle w:val="Heading6"/>
        <w:rPr/>
      </w:pPr>
      <w:r>
        <w:rPr>
          <w:b/>
        </w:rPr>
        <w:t>Figure 1</w:t>
      </w:r>
      <w:r>
        <w:rPr/>
        <w:t xml:space="preserve">. The </w:t>
      </w:r>
      <w:r>
        <w:rPr/>
        <w:t>crystal packing of</w:t>
      </w:r>
      <w:r>
        <w:rPr/>
        <w:t xml:space="preserve"> L- and D-RNA duplexes (green and pink, respectively), with the bound Zn</w:t>
      </w:r>
      <w:r>
        <w:rPr>
          <w:vertAlign w:val="superscript"/>
        </w:rPr>
        <w:t>2+</w:t>
      </w:r>
      <w:r>
        <w:rPr/>
        <w:t xml:space="preserve"> ions (blue spheres) (</w:t>
      </w:r>
      <w:r>
        <w:rPr/>
        <w:t>left</w:t>
      </w:r>
      <w:r>
        <w:rPr/>
        <w:t xml:space="preserve">). </w:t>
      </w:r>
      <w:r>
        <w:rPr/>
        <w:t>The artistic representation of broken symmetry between L and D enantiomers of RNA molecules (right).</w:t>
      </w:r>
    </w:p>
    <w:p>
      <w:pPr>
        <w:pStyle w:val="Normal"/>
        <w:rPr>
          <w:lang w:eastAsia="cs-CZ"/>
        </w:rPr>
      </w:pPr>
      <w:r>
        <w:rPr>
          <w:lang w:eastAsia="cs-CZ"/>
        </w:rPr>
      </w:r>
    </w:p>
    <w:p>
      <w:pPr>
        <w:pStyle w:val="Normal"/>
        <w:rPr>
          <w:lang w:eastAsia="cs-CZ"/>
        </w:rPr>
      </w:pPr>
      <w:r>
        <w:rPr/>
      </w:r>
    </w:p>
    <w:p>
      <w:pPr>
        <w:pStyle w:val="Normal"/>
        <w:rPr>
          <w:lang w:eastAsia="cs-CZ"/>
        </w:rPr>
      </w:pPr>
      <w:r>
        <w:rPr/>
      </w:r>
    </w:p>
    <w:p>
      <w:pPr>
        <w:pStyle w:val="Normal"/>
        <w:rPr>
          <w:lang w:eastAsia="cs-CZ"/>
        </w:rPr>
      </w:pPr>
      <w:r>
        <w:rPr/>
      </w:r>
    </w:p>
    <w:p>
      <w:pPr>
        <w:pStyle w:val="Normal"/>
        <w:rPr>
          <w:lang w:eastAsia="cs-CZ"/>
        </w:rPr>
      </w:pPr>
      <w:r>
        <w:rPr/>
      </w:r>
    </w:p>
    <w:p>
      <w:pPr>
        <w:pStyle w:val="Normal"/>
        <w:rPr>
          <w:lang w:eastAsia="cs-CZ"/>
        </w:rPr>
      </w:pPr>
      <w:r>
        <w:rPr/>
      </w:r>
    </w:p>
    <w:p>
      <w:pPr>
        <w:pStyle w:val="Normal"/>
        <w:rPr>
          <w:lang w:eastAsia="cs-CZ"/>
        </w:rPr>
      </w:pPr>
      <w:r>
        <w:rPr/>
        <w:t xml:space="preserve">[1] Blackmond, D.G. (2019). </w:t>
      </w:r>
      <w:r>
        <w:rPr>
          <w:i/>
          <w:iCs/>
        </w:rPr>
        <w:t>Cold Spring Harb Perspect Biol</w:t>
      </w:r>
      <w:r>
        <w:rPr/>
        <w:t xml:space="preserve">, </w:t>
      </w:r>
      <w:r>
        <w:rPr>
          <w:b/>
          <w:bCs/>
        </w:rPr>
        <w:t>11</w:t>
      </w:r>
      <w:r>
        <w:rPr/>
        <w:t>.</w:t>
      </w:r>
    </w:p>
    <w:p>
      <w:pPr>
        <w:pStyle w:val="Heading4"/>
        <w:rPr/>
      </w:pPr>
      <w:r>
        <w:rPr/>
        <w:t xml:space="preserve">[2] Kiliszek, A. &amp; Rypniewski, W. (2023). </w:t>
      </w:r>
      <w:r>
        <w:rPr>
          <w:i/>
        </w:rPr>
        <w:t>Acta biochimica Polonica</w:t>
      </w:r>
      <w:r>
        <w:rPr/>
        <w:t xml:space="preserve">, </w:t>
      </w:r>
      <w:r>
        <w:rPr>
          <w:b/>
          <w:bCs/>
          <w:i w:val="false"/>
          <w:iCs w:val="false"/>
        </w:rPr>
        <w:t>70(3</w:t>
      </w:r>
      <w:r>
        <w:rPr>
          <w:b/>
          <w:bCs/>
        </w:rPr>
        <w:t>)</w:t>
      </w:r>
      <w:r>
        <w:rPr/>
        <w:t xml:space="preserve">, 481–485. </w:t>
      </w:r>
    </w:p>
    <w:p>
      <w:pPr>
        <w:pStyle w:val="Heading4"/>
        <w:rPr/>
      </w:pPr>
      <w:r>
        <w:rPr/>
        <w:t xml:space="preserve">[3] Kiliszek, A. Błaszczyk, L. Bejger, M. &amp; Rypniewski, W. (2021). </w:t>
      </w:r>
      <w:r>
        <w:rPr>
          <w:i/>
        </w:rPr>
        <w:t>Nucleic acids research</w:t>
      </w:r>
      <w:r>
        <w:rPr/>
        <w:t xml:space="preserve">, </w:t>
      </w:r>
      <w:r>
        <w:rPr>
          <w:b/>
          <w:bCs/>
          <w:i/>
        </w:rPr>
        <w:t>49</w:t>
      </w:r>
      <w:r>
        <w:rPr>
          <w:b/>
          <w:bCs/>
        </w:rPr>
        <w:t>(21)</w:t>
      </w:r>
      <w:r>
        <w:rPr/>
        <w:t xml:space="preserve">, 12535–12539. </w:t>
      </w:r>
    </w:p>
    <w:p>
      <w:pPr>
        <w:pStyle w:val="Heading4"/>
        <w:spacing w:before="0" w:after="120"/>
        <w:rPr>
          <w:lang w:eastAsia="cs-CZ"/>
        </w:rPr>
      </w:pPr>
      <w:r>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720" w:right="720" w:gutter="0" w:header="708" w:top="765" w:footer="708" w:bottom="765"/>
      <w:pgNumType w:fmt="decimal"/>
      <w:formProt w:val="false"/>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(2025). A81, e1</w:t>
    </w:r>
  </w:p>
  <w:p>
    <w:pPr>
      <w:pStyle w:val="Normal"/>
      <w:tabs>
        <w:tab w:val="clear" w:pos="720"/>
        <w:tab w:val="center" w:pos="4703" w:leader="none"/>
        <w:tab w:val="right" w:pos="9406"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settings.xml><?xml version="1.0" encoding="utf-8"?>
<w:settings xmlns:w="http://schemas.openxmlformats.org/wordprocessingml/2006/main">
  <w:zoom w:percent="140"/>
  <w:embedSystemFonts/>
  <w:defaultTabStop w:val="720"/>
  <w:autoHyphenation w:val="true"/>
  <w:hyphenationZone w:val="360"/>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val="en-GB" w:eastAsia="de-DE" w:bidi="ar-SA"/>
    </w:rPr>
  </w:style>
  <w:style w:type="paragraph" w:styleId="Heading1">
    <w:name w:val="heading 1"/>
    <w:basedOn w:val="Normal"/>
    <w:next w:val="Heading2"/>
    <w:link w:val="Heading1Char"/>
    <w:uiPriority w:val="99"/>
    <w:qFormat/>
    <w:rsid w:val="00925275"/>
    <w:pPr>
      <w:keepNext w:val="true"/>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val="true"/>
      <w:jc w:val="center"/>
      <w:outlineLvl w:val="2"/>
    </w:pPr>
    <w:rPr>
      <w:bCs/>
      <w:i/>
      <w:szCs w:val="24"/>
      <w:lang w:eastAsia="cs-CZ"/>
    </w:rPr>
  </w:style>
  <w:style w:type="paragraph" w:styleId="Heading4">
    <w:name w:val="heading 4"/>
    <w:basedOn w:val="Normal"/>
    <w:next w:val="Normal"/>
    <w:link w:val="Heading4Char"/>
    <w:uiPriority w:val="99"/>
    <w:qFormat/>
    <w:rsid w:val="00ff732e"/>
    <w:pPr>
      <w:keepNext w:val="true"/>
      <w:ind w:hanging="567" w:left="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Heading1Char" w:customStyle="1">
    <w:name w:val="Heading 1 Char"/>
    <w:uiPriority w:val="99"/>
    <w:qFormat/>
    <w:locked/>
    <w:rsid w:val="00925275"/>
    <w:rPr>
      <w:rFonts w:ascii="Arial" w:hAnsi="Arial" w:cs="Arial"/>
      <w:b/>
      <w:bCs/>
      <w:kern w:val="2"/>
      <w:sz w:val="24"/>
      <w:szCs w:val="32"/>
      <w:lang w:val="en-GB" w:eastAsia="de-DE"/>
    </w:rPr>
  </w:style>
  <w:style w:type="character" w:styleId="Heading2Char" w:customStyle="1">
    <w:name w:val="Heading 2 Char"/>
    <w:uiPriority w:val="99"/>
    <w:qFormat/>
    <w:locked/>
    <w:rsid w:val="00925275"/>
    <w:rPr>
      <w:rFonts w:ascii="Arial" w:hAnsi="Arial" w:cs="Arial"/>
      <w:b/>
      <w:bCs/>
      <w:iCs/>
      <w:sz w:val="22"/>
      <w:szCs w:val="28"/>
      <w:lang w:val="en-GB" w:eastAsia="de-DE"/>
    </w:rPr>
  </w:style>
  <w:style w:type="character" w:styleId="Heading3Char" w:customStyle="1">
    <w:name w:val="Heading 3 Char"/>
    <w:uiPriority w:val="99"/>
    <w:qFormat/>
    <w:locked/>
    <w:rsid w:val="002e03db"/>
    <w:rPr>
      <w:bCs/>
      <w:i/>
      <w:sz w:val="22"/>
      <w:szCs w:val="24"/>
      <w:lang w:val="en-GB"/>
    </w:rPr>
  </w:style>
  <w:style w:type="character" w:styleId="Heading4Char" w:customStyle="1">
    <w:name w:val="Heading 4 Char"/>
    <w:uiPriority w:val="99"/>
    <w:qFormat/>
    <w:locked/>
    <w:rsid w:val="00ff732e"/>
    <w:rPr>
      <w:bCs/>
      <w:sz w:val="18"/>
      <w:szCs w:val="24"/>
      <w:lang w:val="en-GB"/>
    </w:rPr>
  </w:style>
  <w:style w:type="character" w:styleId="HTMLAddressChar" w:customStyle="1">
    <w:name w:val="HTML Address Char"/>
    <w:link w:val="HTMLAddress"/>
    <w:uiPriority w:val="99"/>
    <w:semiHidden/>
    <w:qFormat/>
    <w:rsid w:val="005e6dcd"/>
    <w:rPr>
      <w:i/>
      <w:iCs/>
      <w:lang w:val="de-DE" w:eastAsia="de-DE"/>
    </w:rPr>
  </w:style>
  <w:style w:type="character" w:styleId="Heading5Char" w:customStyle="1">
    <w:name w:val="Heading 5 Char"/>
    <w:uiPriority w:val="9"/>
    <w:qFormat/>
    <w:rsid w:val="00605a18"/>
    <w:rPr>
      <w:b/>
      <w:bCs/>
      <w:szCs w:val="22"/>
      <w:lang w:val="en-GB" w:eastAsia="de-DE"/>
    </w:rPr>
  </w:style>
  <w:style w:type="character" w:styleId="Heading6Char" w:customStyle="1">
    <w:name w:val="Heading 6 Char"/>
    <w:uiPriority w:val="9"/>
    <w:qFormat/>
    <w:rsid w:val="00777da8"/>
    <w:rPr>
      <w:rFonts w:eastAsia="Times New Roman" w:cs="Times New Roman"/>
      <w:bCs/>
      <w:szCs w:val="22"/>
      <w:lang w:val="de-DE" w:eastAsia="de-DE"/>
    </w:rPr>
  </w:style>
  <w:style w:type="character" w:styleId="HeaderChar" w:customStyle="1">
    <w:name w:val="Header Char"/>
    <w:uiPriority w:val="99"/>
    <w:qFormat/>
    <w:rsid w:val="00d13351"/>
    <w:rPr>
      <w:lang w:val="en-GB" w:eastAsia="de-DE"/>
    </w:rPr>
  </w:style>
  <w:style w:type="character" w:styleId="FooterChar" w:customStyle="1">
    <w:name w:val="Footer Char"/>
    <w:uiPriority w:val="99"/>
    <w:qFormat/>
    <w:rsid w:val="00d13351"/>
    <w:rPr>
      <w:lang w:val="en-GB" w:eastAsia="de-DE"/>
    </w:rPr>
  </w:style>
  <w:style w:type="character" w:styleId="BalloonTextChar" w:customStyle="1">
    <w:name w:val="Balloon Text Char"/>
    <w:link w:val="BalloonText"/>
    <w:uiPriority w:val="99"/>
    <w:semiHidden/>
    <w:qFormat/>
    <w:rsid w:val="00c64dbe"/>
    <w:rPr>
      <w:rFonts w:ascii="Tahoma" w:hAnsi="Tahoma" w:cs="Tahoma"/>
      <w:sz w:val="16"/>
      <w:szCs w:val="16"/>
      <w:lang w:val="en-GB" w:eastAsia="de-DE"/>
    </w:rPr>
  </w:style>
  <w:style w:type="paragraph" w:styleId="Nagwek" w:customStyle="1">
    <w:name w:val="Nagłówek"/>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Lohit Devanagari"/>
    </w:rPr>
  </w:style>
  <w:style w:type="paragraph" w:styleId="Acknowledgement" w:customStyle="1">
    <w:name w:val="Acknowledgement"/>
    <w:basedOn w:val="Normal"/>
    <w:qFormat/>
    <w:rsid w:val="00777da8"/>
    <w:pPr/>
    <w:rPr>
      <w:i/>
    </w:rPr>
  </w:style>
  <w:style w:type="paragraph" w:styleId="HTMLAddress">
    <w:name w:val="HTML Address"/>
    <w:basedOn w:val="Normal"/>
    <w:link w:val="HTMLAddressChar"/>
    <w:uiPriority w:val="99"/>
    <w:semiHidden/>
    <w:unhideWhenUsed/>
    <w:qFormat/>
    <w:rsid w:val="005e6dcd"/>
    <w:pPr/>
    <w:rPr>
      <w:i/>
      <w:iCs/>
    </w:rPr>
  </w:style>
  <w:style w:type="paragraph" w:styleId="Gwkaistopka" w:customStyle="1">
    <w:name w:val="Główka i stopka"/>
    <w:basedOn w:val="Normal"/>
    <w:qFormat/>
    <w:pPr/>
    <w:rPr/>
  </w:style>
  <w:style w:type="paragraph" w:styleId="Header">
    <w:name w:val="header"/>
    <w:basedOn w:val="Normal"/>
    <w:link w:val="HeaderChar"/>
    <w:uiPriority w:val="99"/>
    <w:unhideWhenUsed/>
    <w:rsid w:val="00d13351"/>
    <w:pPr>
      <w:tabs>
        <w:tab w:val="clear" w:pos="720"/>
        <w:tab w:val="center" w:pos="4536" w:leader="none"/>
        <w:tab w:val="right" w:pos="9072" w:leader="none"/>
      </w:tabs>
    </w:pPr>
    <w:rPr/>
  </w:style>
  <w:style w:type="paragraph" w:styleId="Footer">
    <w:name w:val="footer"/>
    <w:basedOn w:val="Normal"/>
    <w:link w:val="FooterChar"/>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BalloonTextChar"/>
    <w:uiPriority w:val="99"/>
    <w:semiHidden/>
    <w:unhideWhenUsed/>
    <w:qFormat/>
    <w:rsid w:val="00c64dbe"/>
    <w:pPr>
      <w:spacing w:before="0" w:after="0"/>
    </w:pPr>
    <w:rPr>
      <w:rFonts w:ascii="Tahoma" w:hAnsi="Tahoma" w:cs="Tahoma"/>
      <w:sz w:val="16"/>
      <w:szCs w:val="16"/>
    </w:rPr>
  </w:style>
  <w:style w:type="numbering" w:styleId="Bezlisty" w:default="1">
    <w:name w:val="Bez listy"/>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Application>LibreOffice/24.8.7.2$Linux_X86_64 LibreOffice_project/f4f281f562fb585d46b0af5755dfe1eb6adc047f</Application>
  <AppVersion>15.0000</AppVersion>
  <Pages>1</Pages>
  <Words>248</Words>
  <Characters>1526</Characters>
  <CharactersWithSpaces>1765</CharactersWithSpaces>
  <Paragraphs>11</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2019-09-04T15:26:00Z</dcterms:created>
  <dc:creator>Uživatel systému Windows</dc:creator>
  <dc:description/>
  <dc:language>en-GB</dc:language>
  <cp:lastModifiedBy/>
  <dcterms:modified xsi:type="dcterms:W3CDTF">2025-06-05T18:08:31Z</dcterms:modified>
  <cp:revision>22</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