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54E1F" w14:textId="7B4A0BAA" w:rsidR="000A0464" w:rsidRDefault="00D7641A">
      <w:pPr>
        <w:pStyle w:val="Titolo1"/>
      </w:pPr>
      <w:r w:rsidRPr="00D7641A">
        <w:t>T</w:t>
      </w:r>
      <w:r>
        <w:t>argeting alpha-L-</w:t>
      </w:r>
      <w:proofErr w:type="spellStart"/>
      <w:r>
        <w:t>iduronidase</w:t>
      </w:r>
      <w:proofErr w:type="spellEnd"/>
      <w:r>
        <w:t xml:space="preserve"> against</w:t>
      </w:r>
      <w:r w:rsidRPr="00D7641A">
        <w:t xml:space="preserve"> </w:t>
      </w:r>
      <w:r>
        <w:t>mucopolysaccharidosis type</w:t>
      </w:r>
      <w:r w:rsidRPr="00D7641A">
        <w:t xml:space="preserve"> I </w:t>
      </w:r>
      <w:r w:rsidR="00594FA5">
        <w:t xml:space="preserve"> </w:t>
      </w:r>
    </w:p>
    <w:p w14:paraId="15B2CBAA" w14:textId="6BF02DE6" w:rsidR="000A0464" w:rsidRPr="00D7641A" w:rsidRDefault="00D7641A">
      <w:pPr>
        <w:pStyle w:val="Titolo2"/>
        <w:rPr>
          <w:sz w:val="22"/>
          <w:szCs w:val="22"/>
          <w:lang w:val="it-IT"/>
        </w:rPr>
      </w:pPr>
      <w:r w:rsidRPr="00C229CD">
        <w:rPr>
          <w:sz w:val="22"/>
          <w:szCs w:val="22"/>
          <w:u w:val="single"/>
          <w:lang w:val="it-IT"/>
        </w:rPr>
        <w:t>R. Rizzi</w:t>
      </w:r>
      <w:r w:rsidRPr="00C229CD">
        <w:rPr>
          <w:sz w:val="22"/>
          <w:szCs w:val="22"/>
          <w:u w:val="single"/>
          <w:vertAlign w:val="superscript"/>
          <w:lang w:val="it-IT"/>
        </w:rPr>
        <w:t>1</w:t>
      </w:r>
      <w:r w:rsidRPr="00D7641A">
        <w:rPr>
          <w:sz w:val="22"/>
          <w:szCs w:val="22"/>
          <w:lang w:val="it-IT"/>
        </w:rPr>
        <w:t>, M. G. E. Papadopoulos</w:t>
      </w:r>
      <w:r w:rsidRPr="00D7641A">
        <w:rPr>
          <w:sz w:val="22"/>
          <w:szCs w:val="22"/>
          <w:vertAlign w:val="superscript"/>
          <w:lang w:val="it-IT"/>
        </w:rPr>
        <w:t>1</w:t>
      </w:r>
      <w:r w:rsidRPr="00D7641A">
        <w:rPr>
          <w:sz w:val="22"/>
          <w:szCs w:val="22"/>
          <w:lang w:val="it-IT"/>
        </w:rPr>
        <w:t>, G. F. Mangiatordi</w:t>
      </w:r>
      <w:r w:rsidRPr="00D7641A">
        <w:rPr>
          <w:sz w:val="22"/>
          <w:szCs w:val="22"/>
          <w:vertAlign w:val="superscript"/>
          <w:lang w:val="it-IT"/>
        </w:rPr>
        <w:t>1</w:t>
      </w:r>
      <w:r w:rsidRPr="00D7641A">
        <w:rPr>
          <w:sz w:val="22"/>
          <w:szCs w:val="22"/>
          <w:lang w:val="it-IT"/>
        </w:rPr>
        <w:t>, G. Bonapace</w:t>
      </w:r>
      <w:r w:rsidRPr="00D7641A">
        <w:rPr>
          <w:sz w:val="22"/>
          <w:szCs w:val="22"/>
          <w:vertAlign w:val="superscript"/>
          <w:lang w:val="it-IT"/>
        </w:rPr>
        <w:t>2</w:t>
      </w:r>
      <w:r w:rsidRPr="00D7641A">
        <w:rPr>
          <w:sz w:val="22"/>
          <w:szCs w:val="22"/>
          <w:lang w:val="it-IT"/>
        </w:rPr>
        <w:t>, L. Taglietti</w:t>
      </w:r>
      <w:r w:rsidRPr="00D7641A">
        <w:rPr>
          <w:sz w:val="22"/>
          <w:szCs w:val="22"/>
          <w:vertAlign w:val="superscript"/>
          <w:lang w:val="it-IT"/>
        </w:rPr>
        <w:t>3</w:t>
      </w:r>
      <w:r w:rsidRPr="00D7641A">
        <w:rPr>
          <w:sz w:val="22"/>
          <w:szCs w:val="22"/>
          <w:lang w:val="it-IT"/>
        </w:rPr>
        <w:t>, B. La Ferla</w:t>
      </w:r>
      <w:r w:rsidRPr="00D7641A">
        <w:rPr>
          <w:sz w:val="22"/>
          <w:szCs w:val="22"/>
          <w:vertAlign w:val="superscript"/>
          <w:lang w:val="it-IT"/>
        </w:rPr>
        <w:t>3</w:t>
      </w:r>
      <w:r w:rsidRPr="00D7641A">
        <w:rPr>
          <w:sz w:val="22"/>
          <w:szCs w:val="22"/>
          <w:lang w:val="it-IT"/>
        </w:rPr>
        <w:t>, M. Pitaro</w:t>
      </w:r>
      <w:r w:rsidRPr="00D7641A">
        <w:rPr>
          <w:sz w:val="22"/>
          <w:szCs w:val="22"/>
          <w:vertAlign w:val="superscript"/>
          <w:lang w:val="it-IT"/>
        </w:rPr>
        <w:t>4</w:t>
      </w:r>
      <w:r w:rsidRPr="00D7641A">
        <w:rPr>
          <w:sz w:val="22"/>
          <w:szCs w:val="22"/>
          <w:lang w:val="it-IT"/>
        </w:rPr>
        <w:t>, D. Concolino</w:t>
      </w:r>
      <w:r w:rsidRPr="00D7641A">
        <w:rPr>
          <w:sz w:val="22"/>
          <w:szCs w:val="22"/>
          <w:vertAlign w:val="superscript"/>
          <w:lang w:val="it-IT"/>
        </w:rPr>
        <w:t>2</w:t>
      </w:r>
    </w:p>
    <w:p w14:paraId="204FF211" w14:textId="62002217" w:rsidR="000A0464" w:rsidRPr="004F073F" w:rsidRDefault="004F073F">
      <w:pPr>
        <w:pStyle w:val="Titolo3"/>
        <w:rPr>
          <w:sz w:val="18"/>
          <w:szCs w:val="18"/>
          <w:lang w:val="it-IT"/>
        </w:rPr>
      </w:pPr>
      <w:r w:rsidRPr="004F073F">
        <w:rPr>
          <w:vertAlign w:val="superscript"/>
          <w:lang w:val="it-IT"/>
        </w:rPr>
        <w:t xml:space="preserve">1CNR - Institute of </w:t>
      </w:r>
      <w:proofErr w:type="spellStart"/>
      <w:r w:rsidRPr="004F073F">
        <w:rPr>
          <w:vertAlign w:val="superscript"/>
          <w:lang w:val="it-IT"/>
        </w:rPr>
        <w:t>Crystallography</w:t>
      </w:r>
      <w:proofErr w:type="spellEnd"/>
      <w:r w:rsidRPr="004F073F">
        <w:rPr>
          <w:vertAlign w:val="superscript"/>
          <w:lang w:val="it-IT"/>
        </w:rPr>
        <w:t xml:space="preserve">, Via Amendola 122/o, 70126 Bari, </w:t>
      </w:r>
      <w:proofErr w:type="spellStart"/>
      <w:r w:rsidRPr="004F073F">
        <w:rPr>
          <w:vertAlign w:val="superscript"/>
          <w:lang w:val="it-IT"/>
        </w:rPr>
        <w:t>Italy</w:t>
      </w:r>
      <w:proofErr w:type="spellEnd"/>
      <w:r w:rsidRPr="004F073F">
        <w:rPr>
          <w:vertAlign w:val="superscript"/>
          <w:lang w:val="it-IT"/>
        </w:rPr>
        <w:t xml:space="preserve">; 2Department of Health Sciences, University Magna </w:t>
      </w:r>
      <w:proofErr w:type="spellStart"/>
      <w:r w:rsidRPr="004F073F">
        <w:rPr>
          <w:vertAlign w:val="superscript"/>
          <w:lang w:val="it-IT"/>
        </w:rPr>
        <w:t>Graecia</w:t>
      </w:r>
      <w:proofErr w:type="spellEnd"/>
      <w:r w:rsidRPr="004F073F">
        <w:rPr>
          <w:vertAlign w:val="superscript"/>
          <w:lang w:val="it-IT"/>
        </w:rPr>
        <w:t xml:space="preserve">, Viale Europa, 80100 Catanzaro, </w:t>
      </w:r>
      <w:proofErr w:type="spellStart"/>
      <w:r w:rsidRPr="004F073F">
        <w:rPr>
          <w:vertAlign w:val="superscript"/>
          <w:lang w:val="it-IT"/>
        </w:rPr>
        <w:t>Italy</w:t>
      </w:r>
      <w:proofErr w:type="spellEnd"/>
      <w:r w:rsidRPr="004F073F">
        <w:rPr>
          <w:vertAlign w:val="superscript"/>
          <w:lang w:val="it-IT"/>
        </w:rPr>
        <w:t xml:space="preserve">; 3Department of Earth and </w:t>
      </w:r>
      <w:proofErr w:type="spellStart"/>
      <w:r w:rsidRPr="004F073F">
        <w:rPr>
          <w:vertAlign w:val="superscript"/>
          <w:lang w:val="it-IT"/>
        </w:rPr>
        <w:t>Environmental</w:t>
      </w:r>
      <w:proofErr w:type="spellEnd"/>
      <w:r w:rsidRPr="004F073F">
        <w:rPr>
          <w:vertAlign w:val="superscript"/>
          <w:lang w:val="it-IT"/>
        </w:rPr>
        <w:t xml:space="preserve"> Sciences, Bicocca University, Piazza della Scienza 1, 20126 Milan, </w:t>
      </w:r>
      <w:proofErr w:type="spellStart"/>
      <w:r w:rsidRPr="004F073F">
        <w:rPr>
          <w:vertAlign w:val="superscript"/>
          <w:lang w:val="it-IT"/>
        </w:rPr>
        <w:t>Italy</w:t>
      </w:r>
      <w:proofErr w:type="spellEnd"/>
      <w:r w:rsidRPr="004F073F">
        <w:rPr>
          <w:vertAlign w:val="superscript"/>
          <w:lang w:val="it-IT"/>
        </w:rPr>
        <w:t xml:space="preserve">; 4Consorzio Interuniversitario “Istituto Nazionale </w:t>
      </w:r>
      <w:proofErr w:type="spellStart"/>
      <w:r w:rsidRPr="004F073F">
        <w:rPr>
          <w:vertAlign w:val="superscript"/>
          <w:lang w:val="it-IT"/>
        </w:rPr>
        <w:t>Biostrutture</w:t>
      </w:r>
      <w:proofErr w:type="spellEnd"/>
      <w:r w:rsidRPr="004F073F">
        <w:rPr>
          <w:vertAlign w:val="superscript"/>
          <w:lang w:val="it-IT"/>
        </w:rPr>
        <w:t xml:space="preserve"> e Biosistemi” (INBB), Via dei Carpegna 19, 00165 Rome, </w:t>
      </w:r>
      <w:proofErr w:type="spellStart"/>
      <w:r w:rsidRPr="004F073F">
        <w:rPr>
          <w:vertAlign w:val="superscript"/>
          <w:lang w:val="it-IT"/>
        </w:rPr>
        <w:t>Italy</w:t>
      </w:r>
      <w:proofErr w:type="spellEnd"/>
      <w:r w:rsidR="00594FA5" w:rsidRPr="004F073F">
        <w:rPr>
          <w:lang w:val="it-IT" w:eastAsia="de-DE"/>
        </w:rPr>
        <w:br/>
      </w:r>
    </w:p>
    <w:p w14:paraId="6CDC8649" w14:textId="77777777" w:rsidR="004B4BF6" w:rsidRPr="00B46A22" w:rsidRDefault="004B4BF6" w:rsidP="004B4BF6">
      <w:r w:rsidRPr="00B46A22">
        <w:t>Mucopolysaccharidosis type I (MPS I) is a rare autosomal recessive lysosomal storage disorder caused by mutations in the </w:t>
      </w:r>
      <w:r w:rsidRPr="00B46A22">
        <w:rPr>
          <w:b/>
          <w:bCs/>
        </w:rPr>
        <w:t>IDUA</w:t>
      </w:r>
      <w:r w:rsidRPr="00B46A22">
        <w:t> gene, which encodes α-L-iduronidase.</w:t>
      </w:r>
      <w:r w:rsidRPr="00B46A22">
        <w:rPr>
          <w:vertAlign w:val="superscript"/>
        </w:rPr>
        <w:t>1</w:t>
      </w:r>
      <w:r w:rsidRPr="00B46A22">
        <w:t> This enzyme degrades glycosaminoglycans (GAGs) like dermatan and heparan sulfate.</w:t>
      </w:r>
      <w:r w:rsidRPr="00B46A22">
        <w:rPr>
          <w:vertAlign w:val="superscript"/>
        </w:rPr>
        <w:t>2</w:t>
      </w:r>
      <w:r w:rsidRPr="00B46A22">
        <w:t> Enzymatic deficiency leads to GAG accumulation in lysosomes, disrupting cellular function and causing multisystemic damage with clinical severity ranging from mild to severe.</w:t>
      </w:r>
      <w:r w:rsidRPr="00B46A22">
        <w:rPr>
          <w:vertAlign w:val="superscript"/>
        </w:rPr>
        <w:t>3</w:t>
      </w:r>
    </w:p>
    <w:p w14:paraId="63188578" w14:textId="77777777" w:rsidR="004B4BF6" w:rsidRPr="00B46A22" w:rsidRDefault="004B4BF6" w:rsidP="004B4BF6">
      <w:r w:rsidRPr="00B46A22">
        <w:t>MPS I is classified into three phenotypes: Hurler syndrome (severe), Hurler-Scheie syndrome (intermediate), and Scheie syndrome (attenuated). Severe forms involve early neurodegeneration, skeletal abnormalities, and early mortality, while attenuated forms present later with milder symptoms like joint stiffness, corneal clouding, and cardiac issues, allowing longer life expectancy.</w:t>
      </w:r>
    </w:p>
    <w:p w14:paraId="3EC53C9D" w14:textId="77777777" w:rsidR="004B4BF6" w:rsidRPr="00B46A22" w:rsidRDefault="004B4BF6" w:rsidP="004B4BF6">
      <w:r w:rsidRPr="00B46A22">
        <w:t>Among pathogenic IDUA variants, </w:t>
      </w:r>
      <w:r w:rsidRPr="00B46A22">
        <w:rPr>
          <w:b/>
          <w:bCs/>
        </w:rPr>
        <w:t>L490P</w:t>
      </w:r>
      <w:r w:rsidRPr="00B46A22">
        <w:t> and </w:t>
      </w:r>
      <w:r w:rsidRPr="00B46A22">
        <w:rPr>
          <w:b/>
          <w:bCs/>
        </w:rPr>
        <w:t>P533R</w:t>
      </w:r>
      <w:r w:rsidRPr="00B46A22">
        <w:t> are commonly linked to attenuated forms (Hurler-Scheie and Scheie). These mutations retain partial α-L-</w:t>
      </w:r>
      <w:proofErr w:type="spellStart"/>
      <w:r w:rsidRPr="00B46A22">
        <w:t>iduronidase</w:t>
      </w:r>
      <w:proofErr w:type="spellEnd"/>
      <w:r w:rsidRPr="00B46A22">
        <w:t xml:space="preserve"> activity, reducing systemic severity but still causing subtle neurological impairments, such as cognitive delays and attention deficits, due to GAG accumulation in the central nervous system (CNS).</w:t>
      </w:r>
      <w:r w:rsidRPr="00B46A22">
        <w:rPr>
          <w:vertAlign w:val="superscript"/>
        </w:rPr>
        <w:t>3</w:t>
      </w:r>
    </w:p>
    <w:p w14:paraId="2FB31BB8" w14:textId="77777777" w:rsidR="004B4BF6" w:rsidRPr="00B46A22" w:rsidRDefault="004B4BF6" w:rsidP="004B4BF6">
      <w:r w:rsidRPr="00B46A22">
        <w:t>Current treatments, including enzyme replacement therapy (ERT) and hematopoietic stem cell transplantation (HSCT), manage somatic symptoms but are less effective for CNS involvement due to limited enzyme penetration across the blood-brain barrier (BBB). Emerging therapies like improved ERT and gene therapy (GT) offer promise but remain expensive and require further validation for MPS I.</w:t>
      </w:r>
    </w:p>
    <w:p w14:paraId="053B1CAB" w14:textId="77777777" w:rsidR="004B4BF6" w:rsidRPr="00B46A22" w:rsidRDefault="004B4BF6" w:rsidP="004B4BF6">
      <w:r w:rsidRPr="00B46A22">
        <w:t>We employed molecular docking calculations on the catalytic site of the protein to guide medicinal chemists into synthesizing weak inhibitors that would act as 1</w:t>
      </w:r>
      <w:r w:rsidRPr="00B46A22">
        <w:rPr>
          <w:vertAlign w:val="superscript"/>
        </w:rPr>
        <w:t>st</w:t>
      </w:r>
      <w:r w:rsidRPr="00B46A22">
        <w:t> generation pharmacological chaperons (PC). In parallel, molecular dynamics (MD) simulations were conducted to contrast the wild-type protein with the </w:t>
      </w:r>
      <w:r w:rsidRPr="00B46A22">
        <w:rPr>
          <w:b/>
          <w:bCs/>
        </w:rPr>
        <w:t>L490P</w:t>
      </w:r>
      <w:r w:rsidRPr="00B46A22">
        <w:t> and </w:t>
      </w:r>
      <w:r w:rsidRPr="00B46A22">
        <w:rPr>
          <w:b/>
          <w:bCs/>
        </w:rPr>
        <w:t>P533R</w:t>
      </w:r>
      <w:r w:rsidRPr="00B46A22">
        <w:t xml:space="preserve"> mutants, aiming to uncover eventual micro-switches that lead to the misfolding of the protein. We are currently investigating these structural mechanisms to understand </w:t>
      </w:r>
      <w:r>
        <w:t>them from a structural point of view,</w:t>
      </w:r>
      <w:r w:rsidRPr="00B46A22">
        <w:t xml:space="preserve"> and we hope to identify druggable cavities that we can target to stabilize the protein in an enzymatically active state using 2</w:t>
      </w:r>
      <w:r w:rsidRPr="00B46A22">
        <w:rPr>
          <w:vertAlign w:val="superscript"/>
        </w:rPr>
        <w:t>nd</w:t>
      </w:r>
      <w:r w:rsidRPr="00B46A22">
        <w:t> generation PCs.</w:t>
      </w:r>
    </w:p>
    <w:p w14:paraId="47C76FC9" w14:textId="77777777" w:rsidR="004B4BF6" w:rsidRPr="00B46A22" w:rsidRDefault="004B4BF6" w:rsidP="004B4BF6"/>
    <w:p w14:paraId="6F3D9C7E" w14:textId="78C0EC04" w:rsidR="000A0464" w:rsidRPr="00B52497" w:rsidRDefault="00594FA5">
      <w:pPr>
        <w:rPr>
          <w:lang w:val="fr-FR" w:eastAsia="cs-CZ"/>
        </w:rPr>
      </w:pPr>
      <w:proofErr w:type="spellStart"/>
      <w:r w:rsidRPr="00B52497">
        <w:rPr>
          <w:lang w:val="fr-FR" w:eastAsia="cs-CZ"/>
        </w:rPr>
        <w:t>References</w:t>
      </w:r>
      <w:proofErr w:type="spellEnd"/>
    </w:p>
    <w:p w14:paraId="1C301845" w14:textId="421689B8" w:rsidR="00B52497" w:rsidRDefault="00594FA5" w:rsidP="00B52497">
      <w:pPr>
        <w:pStyle w:val="Titolo4"/>
      </w:pPr>
      <w:r w:rsidRPr="00B52497">
        <w:rPr>
          <w:lang w:val="fr-FR"/>
        </w:rPr>
        <w:t xml:space="preserve">[1] </w:t>
      </w:r>
      <w:r w:rsidR="00B52497" w:rsidRPr="00B52497">
        <w:rPr>
          <w:lang w:val="fr-FR"/>
        </w:rPr>
        <w:t xml:space="preserve">Hampe, C. S. et al. </w:t>
      </w:r>
      <w:r w:rsidR="00B52497">
        <w:t>Mucopolysaccharidosis Type I: Current Treatments, Limitations, and Prospects for Improvement. Biomolecules 11, 189 (2021).</w:t>
      </w:r>
    </w:p>
    <w:p w14:paraId="7C1FC589" w14:textId="3B6AA03D" w:rsidR="00B52497" w:rsidRDefault="00B52497" w:rsidP="00B52497">
      <w:pPr>
        <w:pStyle w:val="Titolo4"/>
      </w:pPr>
      <w:r>
        <w:t xml:space="preserve">[2] Griffin, L. S. &amp; Gloster, T. M. The Enzymatic Degradation of Heparan </w:t>
      </w:r>
      <w:proofErr w:type="spellStart"/>
      <w:r>
        <w:t>Sulfate</w:t>
      </w:r>
      <w:proofErr w:type="spellEnd"/>
      <w:r>
        <w:t xml:space="preserve">. Protein </w:t>
      </w:r>
      <w:proofErr w:type="spellStart"/>
      <w:r>
        <w:t>Pept</w:t>
      </w:r>
      <w:proofErr w:type="spellEnd"/>
      <w:r>
        <w:t>. Lett. 24, 710–722 (2017).</w:t>
      </w:r>
    </w:p>
    <w:p w14:paraId="64F56202" w14:textId="77777777" w:rsidR="00B52497" w:rsidRDefault="00B52497" w:rsidP="00B52497">
      <w:pPr>
        <w:pStyle w:val="Titolo4"/>
        <w:spacing w:after="0"/>
      </w:pPr>
      <w:r w:rsidRPr="00C229CD">
        <w:t xml:space="preserve">[3] Clarke, L. A. et al. </w:t>
      </w:r>
      <w:r>
        <w:t>Genotype‐phenotype relationships in mucopolysaccharidosis type I (MPS I): Insights from the International MPS I Registry.</w:t>
      </w:r>
    </w:p>
    <w:p w14:paraId="71266E9A" w14:textId="77777777" w:rsidR="00B52497" w:rsidRDefault="00B52497" w:rsidP="00B52497">
      <w:pPr>
        <w:pStyle w:val="Titolo4"/>
        <w:spacing w:after="0"/>
        <w:ind w:firstLine="0"/>
      </w:pPr>
      <w:r>
        <w:t>Clin. Genet. 96, 281–289 (2019).</w:t>
      </w:r>
    </w:p>
    <w:p w14:paraId="16665525" w14:textId="77777777" w:rsidR="00B52497" w:rsidRDefault="00B52497" w:rsidP="00B52497">
      <w:pPr>
        <w:pStyle w:val="Titolo4"/>
      </w:pPr>
    </w:p>
    <w:p w14:paraId="77B87D2D" w14:textId="77777777" w:rsidR="00B52497" w:rsidRDefault="00B52497" w:rsidP="00B52497">
      <w:pPr>
        <w:pStyle w:val="Titolo4"/>
        <w:spacing w:after="0"/>
        <w:rPr>
          <w:i/>
          <w:iCs/>
          <w:sz w:val="20"/>
          <w:szCs w:val="20"/>
        </w:rPr>
      </w:pPr>
      <w:r w:rsidRPr="00B52497">
        <w:rPr>
          <w:i/>
          <w:iCs/>
          <w:sz w:val="20"/>
          <w:szCs w:val="20"/>
        </w:rPr>
        <w:t>This project is funded by the European Union – Next Generation EU, under the National Recovery and Resilience Plan (PNRR),</w:t>
      </w:r>
    </w:p>
    <w:p w14:paraId="0EAB8F2E" w14:textId="4D92118F" w:rsidR="000A0464" w:rsidRPr="00B52497" w:rsidRDefault="00B52497" w:rsidP="00B52497">
      <w:pPr>
        <w:pStyle w:val="Titolo4"/>
        <w:spacing w:after="0"/>
        <w:rPr>
          <w:i/>
          <w:iCs/>
          <w:sz w:val="20"/>
          <w:szCs w:val="20"/>
        </w:rPr>
      </w:pPr>
      <w:r w:rsidRPr="00B52497">
        <w:rPr>
          <w:i/>
          <w:iCs/>
          <w:sz w:val="20"/>
          <w:szCs w:val="20"/>
        </w:rPr>
        <w:t>Mission 4,</w:t>
      </w:r>
      <w:r>
        <w:rPr>
          <w:i/>
          <w:iCs/>
          <w:sz w:val="20"/>
          <w:szCs w:val="20"/>
        </w:rPr>
        <w:t xml:space="preserve"> </w:t>
      </w:r>
      <w:r w:rsidRPr="00B52497">
        <w:rPr>
          <w:i/>
          <w:iCs/>
          <w:sz w:val="20"/>
          <w:szCs w:val="20"/>
        </w:rPr>
        <w:t>Component 1, Project CUP 2022S2M7E5.</w:t>
      </w:r>
    </w:p>
    <w:sectPr w:rsidR="000A0464" w:rsidRPr="00B52497">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5D648" w14:textId="77777777" w:rsidR="00594FA5" w:rsidRDefault="00594FA5">
      <w:pPr>
        <w:spacing w:after="0"/>
      </w:pPr>
      <w:r>
        <w:separator/>
      </w:r>
    </w:p>
  </w:endnote>
  <w:endnote w:type="continuationSeparator" w:id="0">
    <w:p w14:paraId="7A46C9F6" w14:textId="77777777" w:rsidR="00594FA5" w:rsidRDefault="00594F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F357" w14:textId="77777777" w:rsidR="000A0464" w:rsidRDefault="00594FA5">
    <w:pPr>
      <w:pStyle w:val="Pidipagina"/>
    </w:pPr>
    <w:r>
      <w:t xml:space="preserve">Acta </w:t>
    </w:r>
    <w:proofErr w:type="spellStart"/>
    <w:r>
      <w:t>Cryst</w:t>
    </w:r>
    <w:proofErr w:type="spellEnd"/>
    <w:r>
      <w:t>. (2025). A81, e1</w:t>
    </w:r>
  </w:p>
  <w:p w14:paraId="756214CA" w14:textId="77777777" w:rsidR="000A0464" w:rsidRDefault="000A0464">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F6EB5" w14:textId="77777777" w:rsidR="00594FA5" w:rsidRDefault="00594FA5">
      <w:pPr>
        <w:spacing w:after="0"/>
      </w:pPr>
      <w:r>
        <w:separator/>
      </w:r>
    </w:p>
  </w:footnote>
  <w:footnote w:type="continuationSeparator" w:id="0">
    <w:p w14:paraId="7660D5B8" w14:textId="77777777" w:rsidR="00594FA5" w:rsidRDefault="00594F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165C" w14:textId="77777777" w:rsidR="000A0464" w:rsidRDefault="00594FA5">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64"/>
    <w:rsid w:val="000A0464"/>
    <w:rsid w:val="004B4BF6"/>
    <w:rsid w:val="004F073F"/>
    <w:rsid w:val="00594FA5"/>
    <w:rsid w:val="00B52497"/>
    <w:rsid w:val="00C229CD"/>
    <w:rsid w:val="00C40803"/>
    <w:rsid w:val="00C82CCC"/>
    <w:rsid w:val="00D73420"/>
    <w:rsid w:val="00D7641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1C05"/>
  <w15:docId w15:val="{4F4082E4-C0E3-4FFD-B0F4-3DB13F7F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2959</Characters>
  <Application>Microsoft Office Word</Application>
  <DocSecurity>0</DocSecurity>
  <Lines>24</Lines>
  <Paragraphs>6</Paragraphs>
  <ScaleCrop>false</ScaleCrop>
  <Company>MFF UK</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ROSANNA RIZZI</cp:lastModifiedBy>
  <cp:revision>3</cp:revision>
  <cp:lastPrinted>2025-03-18T09:52:00Z</cp:lastPrinted>
  <dcterms:created xsi:type="dcterms:W3CDTF">2025-03-18T10:08:00Z</dcterms:created>
  <dcterms:modified xsi:type="dcterms:W3CDTF">2025-03-18T10:09:00Z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