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6F9E" w14:textId="70296EDA" w:rsidR="00787F30" w:rsidRPr="004A1F76" w:rsidRDefault="00787F30" w:rsidP="00787F30">
      <w:pPr>
        <w:pStyle w:val="IIR03PaperTitle"/>
        <w:ind w:left="5" w:hanging="7"/>
        <w:rPr>
          <w:rFonts w:ascii="Arial" w:eastAsia="Arial" w:hAnsi="Arial" w:cs="Arial"/>
          <w:sz w:val="24"/>
          <w:szCs w:val="24"/>
        </w:rPr>
      </w:pPr>
      <w:r w:rsidRPr="00292E22">
        <w:rPr>
          <w:rFonts w:ascii="Arial" w:eastAsia="Arial" w:hAnsi="Arial" w:cs="Arial"/>
          <w:caps w:val="0"/>
          <w:position w:val="-1"/>
          <w:sz w:val="24"/>
          <w:szCs w:val="24"/>
        </w:rPr>
        <w:t>Enhanced cryogenic cooling for imaging of large samples by X-ray microscopy</w:t>
      </w:r>
    </w:p>
    <w:p w14:paraId="78D00EDF" w14:textId="174042A5" w:rsidR="00787F30" w:rsidRPr="00787F30" w:rsidRDefault="00787F30" w:rsidP="00787F30">
      <w:pPr>
        <w:ind w:hanging="2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87F30">
        <w:rPr>
          <w:rFonts w:ascii="Arial" w:hAnsi="Arial" w:cs="Arial"/>
          <w:b/>
          <w:bCs/>
          <w:iCs/>
          <w:sz w:val="22"/>
          <w:szCs w:val="22"/>
        </w:rPr>
        <w:t>C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.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 xml:space="preserve"> Wood</w:t>
      </w:r>
      <w:r w:rsidRPr="00787F30">
        <w:rPr>
          <w:rFonts w:ascii="Arial" w:hAnsi="Arial" w:cs="Arial"/>
          <w:b/>
          <w:bCs/>
          <w:iCs/>
          <w:sz w:val="22"/>
          <w:szCs w:val="22"/>
          <w:vertAlign w:val="superscript"/>
        </w:rPr>
        <w:t>1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, A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Moayedi</w:t>
      </w:r>
      <w:r w:rsidRPr="00787F30">
        <w:rPr>
          <w:rFonts w:ascii="Arial" w:hAnsi="Arial" w:cs="Arial"/>
          <w:b/>
          <w:bCs/>
          <w:iCs/>
          <w:sz w:val="22"/>
          <w:szCs w:val="22"/>
          <w:vertAlign w:val="superscript"/>
        </w:rPr>
        <w:t>1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T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.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 xml:space="preserve"> Renshaw</w:t>
      </w:r>
      <w:r w:rsidRPr="00787F30">
        <w:rPr>
          <w:rFonts w:ascii="Arial" w:hAnsi="Arial" w:cs="Arial"/>
          <w:b/>
          <w:bCs/>
          <w:iCs/>
          <w:sz w:val="22"/>
          <w:szCs w:val="22"/>
          <w:vertAlign w:val="superscript"/>
        </w:rPr>
        <w:t>2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, M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.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 xml:space="preserve"> C. Kokkinidou</w:t>
      </w:r>
      <w:r w:rsidRPr="00787F30">
        <w:rPr>
          <w:rFonts w:ascii="Arial" w:hAnsi="Arial" w:cs="Arial"/>
          <w:b/>
          <w:bCs/>
          <w:iCs/>
          <w:sz w:val="22"/>
          <w:szCs w:val="22"/>
          <w:vertAlign w:val="superscript"/>
        </w:rPr>
        <w:t>2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, J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.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 xml:space="preserve"> Shaxted</w:t>
      </w:r>
      <w:r w:rsidRPr="00787F30">
        <w:rPr>
          <w:rFonts w:ascii="Arial" w:hAnsi="Arial" w:cs="Arial"/>
          <w:b/>
          <w:bCs/>
          <w:iCs/>
          <w:sz w:val="22"/>
          <w:szCs w:val="22"/>
          <w:vertAlign w:val="superscript"/>
        </w:rPr>
        <w:t>2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, A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Renshaw</w:t>
      </w:r>
      <w:r w:rsidRPr="00787F30">
        <w:rPr>
          <w:rFonts w:ascii="Arial" w:hAnsi="Arial" w:cs="Arial"/>
          <w:b/>
          <w:bCs/>
          <w:iCs/>
          <w:sz w:val="22"/>
          <w:szCs w:val="22"/>
          <w:vertAlign w:val="superscript"/>
        </w:rPr>
        <w:t>2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, L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.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 xml:space="preserve"> Pajdzik</w:t>
      </w:r>
      <w:r w:rsidRPr="00787F30">
        <w:rPr>
          <w:rFonts w:ascii="Arial" w:hAnsi="Arial" w:cs="Arial"/>
          <w:b/>
          <w:bCs/>
          <w:iCs/>
          <w:sz w:val="22"/>
          <w:szCs w:val="22"/>
          <w:vertAlign w:val="superscript"/>
        </w:rPr>
        <w:t>2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,</w:t>
      </w:r>
      <w:r>
        <w:rPr>
          <w:rFonts w:ascii="Arial" w:hAnsi="Arial" w:cs="Arial"/>
          <w:b/>
          <w:bCs/>
          <w:iCs/>
          <w:sz w:val="22"/>
          <w:szCs w:val="22"/>
        </w:rPr>
        <w:br/>
      </w:r>
      <w:r w:rsidRPr="00787F30">
        <w:rPr>
          <w:rFonts w:ascii="Arial" w:hAnsi="Arial" w:cs="Arial"/>
          <w:b/>
          <w:bCs/>
          <w:iCs/>
          <w:sz w:val="22"/>
          <w:szCs w:val="22"/>
        </w:rPr>
        <w:t>A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.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 xml:space="preserve"> Hodgson</w:t>
      </w:r>
      <w:r w:rsidRPr="00787F30">
        <w:rPr>
          <w:rFonts w:ascii="Arial" w:hAnsi="Arial" w:cs="Arial"/>
          <w:b/>
          <w:bCs/>
          <w:iCs/>
          <w:sz w:val="22"/>
          <w:szCs w:val="22"/>
          <w:vertAlign w:val="superscript"/>
        </w:rPr>
        <w:t>2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, A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>L. Klyszejko</w:t>
      </w:r>
      <w:r w:rsidRPr="00787F30">
        <w:rPr>
          <w:rFonts w:ascii="Arial" w:hAnsi="Arial" w:cs="Arial"/>
          <w:b/>
          <w:bCs/>
          <w:iCs/>
          <w:sz w:val="22"/>
          <w:szCs w:val="22"/>
          <w:vertAlign w:val="superscript"/>
        </w:rPr>
        <w:t>2</w:t>
      </w:r>
      <w:r w:rsidRPr="00787F30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53359B86" w14:textId="10763C77" w:rsidR="00787F30" w:rsidRPr="00787F30" w:rsidRDefault="00787F30" w:rsidP="00787F30">
      <w:pPr>
        <w:pStyle w:val="IIR05InstitutionAffiliations"/>
        <w:jc w:val="center"/>
        <w:rPr>
          <w:rFonts w:eastAsia="Times New Roman"/>
          <w:bCs/>
          <w:i/>
          <w:sz w:val="20"/>
          <w:szCs w:val="24"/>
          <w:lang w:eastAsia="cs-CZ"/>
        </w:rPr>
      </w:pPr>
      <w:r w:rsidRPr="00787F30">
        <w:rPr>
          <w:rFonts w:eastAsia="Times New Roman"/>
          <w:bCs/>
          <w:i/>
          <w:sz w:val="20"/>
          <w:szCs w:val="24"/>
          <w:vertAlign w:val="superscript"/>
          <w:lang w:eastAsia="cs-CZ"/>
        </w:rPr>
        <w:t>1</w:t>
      </w:r>
      <w:r w:rsidRPr="00787F30">
        <w:rPr>
          <w:rFonts w:eastAsia="Times New Roman"/>
          <w:bCs/>
          <w:i/>
          <w:sz w:val="20"/>
          <w:szCs w:val="24"/>
          <w:lang w:eastAsia="cs-CZ"/>
        </w:rPr>
        <w:t>The Future Technology Centre, University of Portsmouth, Portland Street, Portsmouth, PO1 3HE, United Kingdom,</w:t>
      </w:r>
      <w:r>
        <w:rPr>
          <w:rFonts w:eastAsia="Times New Roman"/>
          <w:bCs/>
          <w:i/>
          <w:sz w:val="20"/>
          <w:szCs w:val="24"/>
          <w:lang w:eastAsia="cs-CZ"/>
        </w:rPr>
        <w:br/>
      </w:r>
      <w:r w:rsidRPr="00787F30">
        <w:rPr>
          <w:rFonts w:eastAsia="Times New Roman"/>
          <w:bCs/>
          <w:i/>
          <w:sz w:val="20"/>
          <w:szCs w:val="24"/>
          <w:lang w:eastAsia="cs-CZ"/>
        </w:rPr>
        <w:t xml:space="preserve">e-mail: </w:t>
      </w:r>
      <w:hyperlink r:id="rId7" w:history="1">
        <w:r w:rsidRPr="00787F30">
          <w:rPr>
            <w:rFonts w:eastAsia="Times New Roman"/>
            <w:bCs/>
            <w:i/>
            <w:sz w:val="20"/>
            <w:szCs w:val="24"/>
            <w:lang w:eastAsia="cs-CZ"/>
          </w:rPr>
          <w:t>charles.wood@port.ac.uk</w:t>
        </w:r>
      </w:hyperlink>
    </w:p>
    <w:p w14:paraId="691BB007" w14:textId="066B1825" w:rsidR="00787F30" w:rsidRPr="00787F30" w:rsidRDefault="00787F30" w:rsidP="00787F30">
      <w:pPr>
        <w:pStyle w:val="IIR05InstitutionAffiliations"/>
        <w:jc w:val="center"/>
        <w:rPr>
          <w:rFonts w:eastAsia="Times New Roman"/>
          <w:bCs/>
          <w:i/>
          <w:sz w:val="20"/>
          <w:szCs w:val="24"/>
          <w:lang w:eastAsia="cs-CZ"/>
        </w:rPr>
      </w:pPr>
      <w:r w:rsidRPr="00787F30">
        <w:rPr>
          <w:rFonts w:eastAsia="Times New Roman"/>
          <w:bCs/>
          <w:i/>
          <w:sz w:val="20"/>
          <w:szCs w:val="24"/>
          <w:vertAlign w:val="superscript"/>
          <w:lang w:eastAsia="cs-CZ"/>
        </w:rPr>
        <w:t>2</w:t>
      </w:r>
      <w:r w:rsidRPr="00787F30">
        <w:rPr>
          <w:rFonts w:eastAsia="Times New Roman"/>
          <w:bCs/>
          <w:i/>
          <w:sz w:val="20"/>
          <w:szCs w:val="24"/>
          <w:lang w:eastAsia="cs-CZ"/>
        </w:rPr>
        <w:t>Oxford Cr</w:t>
      </w:r>
      <w:proofErr w:type="spellStart"/>
      <w:r w:rsidRPr="00787F30">
        <w:rPr>
          <w:rFonts w:eastAsia="Times New Roman"/>
          <w:bCs/>
          <w:i/>
          <w:sz w:val="20"/>
          <w:szCs w:val="24"/>
          <w:lang w:eastAsia="cs-CZ"/>
        </w:rPr>
        <w:t>yosystems</w:t>
      </w:r>
      <w:proofErr w:type="spellEnd"/>
      <w:r w:rsidRPr="00787F30">
        <w:rPr>
          <w:rFonts w:eastAsia="Times New Roman"/>
          <w:bCs/>
          <w:i/>
          <w:sz w:val="20"/>
          <w:szCs w:val="24"/>
          <w:lang w:eastAsia="cs-CZ"/>
        </w:rPr>
        <w:t xml:space="preserve"> Ltd, 25 Hanborough Business Park, Long Hanborough, OX29 8LH, United Kingdom, </w:t>
      </w:r>
      <w:hyperlink r:id="rId8" w:history="1">
        <w:r w:rsidRPr="00787F30">
          <w:rPr>
            <w:rFonts w:eastAsia="Times New Roman"/>
            <w:bCs/>
            <w:i/>
            <w:sz w:val="20"/>
            <w:szCs w:val="24"/>
            <w:lang w:eastAsia="cs-CZ"/>
          </w:rPr>
          <w:t>www.oxcryo.com</w:t>
        </w:r>
      </w:hyperlink>
      <w:r w:rsidRPr="00787F30">
        <w:rPr>
          <w:rFonts w:eastAsia="Times New Roman"/>
          <w:bCs/>
          <w:i/>
          <w:sz w:val="20"/>
          <w:szCs w:val="24"/>
          <w:lang w:eastAsia="cs-CZ"/>
        </w:rPr>
        <w:t>,</w:t>
      </w:r>
      <w:r>
        <w:rPr>
          <w:rFonts w:eastAsia="Times New Roman"/>
          <w:bCs/>
          <w:i/>
          <w:sz w:val="20"/>
          <w:szCs w:val="24"/>
          <w:lang w:eastAsia="cs-CZ"/>
        </w:rPr>
        <w:br/>
      </w:r>
      <w:r w:rsidRPr="00787F30">
        <w:rPr>
          <w:rFonts w:eastAsia="Times New Roman"/>
          <w:bCs/>
          <w:i/>
          <w:sz w:val="20"/>
          <w:szCs w:val="24"/>
          <w:lang w:eastAsia="cs-CZ"/>
        </w:rPr>
        <w:t xml:space="preserve">e-mail: </w:t>
      </w:r>
      <w:hyperlink r:id="rId9" w:history="1">
        <w:r w:rsidRPr="00787F30">
          <w:rPr>
            <w:rFonts w:eastAsia="Times New Roman"/>
            <w:bCs/>
            <w:i/>
            <w:sz w:val="20"/>
            <w:szCs w:val="24"/>
            <w:lang w:eastAsia="cs-CZ"/>
          </w:rPr>
          <w:t>adriana@oxcryo.com</w:t>
        </w:r>
      </w:hyperlink>
      <w:r>
        <w:rPr>
          <w:rFonts w:eastAsia="Times New Roman"/>
          <w:bCs/>
          <w:i/>
          <w:sz w:val="20"/>
          <w:szCs w:val="24"/>
          <w:lang w:eastAsia="cs-CZ"/>
        </w:rPr>
        <w:t xml:space="preserve">, </w:t>
      </w:r>
      <w:r w:rsidRPr="00787F30">
        <w:rPr>
          <w:rFonts w:eastAsia="Times New Roman"/>
          <w:bCs/>
          <w:i/>
          <w:sz w:val="20"/>
          <w:szCs w:val="24"/>
          <w:lang w:eastAsia="cs-CZ"/>
        </w:rPr>
        <w:t>maria@oxcryo.com</w:t>
      </w:r>
    </w:p>
    <w:p w14:paraId="72325866" w14:textId="77777777" w:rsidR="00787F30" w:rsidRDefault="00787F30"/>
    <w:p w14:paraId="1FAC516C" w14:textId="77777777" w:rsidR="00787F30" w:rsidRPr="00787F30" w:rsidRDefault="00787F30" w:rsidP="00787F30">
      <w:pPr>
        <w:pStyle w:val="IIR08KeyWords"/>
        <w:ind w:hanging="2"/>
        <w:rPr>
          <w:rFonts w:eastAsia="Times New Roman"/>
          <w:sz w:val="20"/>
          <w:lang w:eastAsia="de-DE" w:bidi="ar-SA"/>
        </w:rPr>
      </w:pPr>
      <w:r w:rsidRPr="00787F30">
        <w:rPr>
          <w:rFonts w:eastAsia="Times New Roman"/>
          <w:sz w:val="20"/>
          <w:lang w:eastAsia="de-DE" w:bidi="ar-SA"/>
        </w:rPr>
        <w:t xml:space="preserve">Developments in instrumentation including cryogenic sample environments provide platforms for multimodal tomography application. To increase cryogenic cooling capabilities for large samples, we developed </w:t>
      </w:r>
      <w:proofErr w:type="spellStart"/>
      <w:r w:rsidRPr="00787F30">
        <w:rPr>
          <w:rFonts w:eastAsia="Times New Roman"/>
          <w:sz w:val="20"/>
          <w:lang w:eastAsia="de-DE" w:bidi="ar-SA"/>
        </w:rPr>
        <w:t>Cryostream</w:t>
      </w:r>
      <w:proofErr w:type="spellEnd"/>
      <w:r w:rsidRPr="00787F30">
        <w:rPr>
          <w:rFonts w:eastAsia="Times New Roman"/>
          <w:sz w:val="20"/>
          <w:lang w:eastAsia="de-DE" w:bidi="ar-SA"/>
        </w:rPr>
        <w:t xml:space="preserve"> 1000 Wide Nozzle.</w:t>
      </w:r>
      <w:r w:rsidRPr="00787F30">
        <w:rPr>
          <w:rFonts w:eastAsia="Times New Roman"/>
          <w:sz w:val="20"/>
          <w:lang w:eastAsia="de-DE" w:bidi="ar-SA"/>
        </w:rPr>
        <w:br/>
        <w:t>It provides a much larger gas volume when compared to the Standard model and facilitates vitrification of samples up to 3 mm in diameter. The Wide Nozzle has been successfully used to cool large crystals and biological specimens for X-ray and neutron diffraction and scattering studies, and hard X-ray microscopy tomography.</w:t>
      </w:r>
    </w:p>
    <w:p w14:paraId="30BC70C1" w14:textId="77777777" w:rsidR="00787F30" w:rsidRPr="00787F30" w:rsidRDefault="00787F30" w:rsidP="00787F30">
      <w:pPr>
        <w:pStyle w:val="IIR08KeyWords"/>
        <w:ind w:hanging="2"/>
        <w:rPr>
          <w:rFonts w:eastAsia="Times New Roman"/>
          <w:sz w:val="20"/>
          <w:lang w:eastAsia="de-DE" w:bidi="ar-SA"/>
        </w:rPr>
      </w:pPr>
      <w:r w:rsidRPr="00787F30">
        <w:rPr>
          <w:rFonts w:eastAsia="Times New Roman"/>
          <w:sz w:val="20"/>
          <w:lang w:eastAsia="de-DE" w:bidi="ar-SA"/>
        </w:rPr>
        <w:t>We present the development of a lab-based cryogenic hard X-ray imaging system (</w:t>
      </w:r>
      <w:proofErr w:type="spellStart"/>
      <w:r w:rsidRPr="00787F30">
        <w:rPr>
          <w:rFonts w:eastAsia="Times New Roman"/>
          <w:sz w:val="20"/>
          <w:lang w:eastAsia="de-DE" w:bidi="ar-SA"/>
        </w:rPr>
        <w:t>microCT</w:t>
      </w:r>
      <w:proofErr w:type="spellEnd"/>
      <w:r w:rsidRPr="00787F30">
        <w:rPr>
          <w:rFonts w:eastAsia="Times New Roman"/>
          <w:sz w:val="20"/>
          <w:lang w:eastAsia="de-DE" w:bidi="ar-SA"/>
        </w:rPr>
        <w:t>), designed for sub-micron resolution of biological specimens with reduced need for contrast agents which might affect biological systems.</w:t>
      </w:r>
    </w:p>
    <w:p w14:paraId="483E71C2" w14:textId="77777777" w:rsidR="00787F30" w:rsidRPr="00787F30" w:rsidRDefault="00787F30" w:rsidP="00787F30">
      <w:pPr>
        <w:pStyle w:val="IIR08KeyWords"/>
        <w:ind w:hanging="2"/>
        <w:rPr>
          <w:rFonts w:eastAsia="Times New Roman"/>
          <w:sz w:val="20"/>
          <w:lang w:eastAsia="de-DE" w:bidi="ar-SA"/>
        </w:rPr>
      </w:pPr>
      <w:r w:rsidRPr="00787F30">
        <w:rPr>
          <w:rFonts w:eastAsia="Times New Roman"/>
          <w:sz w:val="20"/>
          <w:lang w:eastAsia="de-DE" w:bidi="ar-SA"/>
        </w:rPr>
        <w:t xml:space="preserve">Utilising the Oxford </w:t>
      </w:r>
      <w:proofErr w:type="spellStart"/>
      <w:r w:rsidRPr="00787F30">
        <w:rPr>
          <w:rFonts w:eastAsia="Times New Roman"/>
          <w:sz w:val="20"/>
          <w:lang w:eastAsia="de-DE" w:bidi="ar-SA"/>
        </w:rPr>
        <w:t>Cryosystems</w:t>
      </w:r>
      <w:proofErr w:type="spellEnd"/>
      <w:r w:rsidRPr="00787F30">
        <w:rPr>
          <w:rFonts w:eastAsia="Times New Roman"/>
          <w:sz w:val="20"/>
          <w:lang w:eastAsia="de-DE" w:bidi="ar-SA"/>
        </w:rPr>
        <w:t xml:space="preserve"> </w:t>
      </w:r>
      <w:proofErr w:type="spellStart"/>
      <w:r w:rsidRPr="00787F30">
        <w:rPr>
          <w:rFonts w:eastAsia="Times New Roman"/>
          <w:sz w:val="20"/>
          <w:lang w:eastAsia="de-DE" w:bidi="ar-SA"/>
        </w:rPr>
        <w:t>Cryostream</w:t>
      </w:r>
      <w:proofErr w:type="spellEnd"/>
      <w:r w:rsidRPr="00787F30">
        <w:rPr>
          <w:rFonts w:eastAsia="Times New Roman"/>
          <w:sz w:val="20"/>
          <w:lang w:eastAsia="de-DE" w:bidi="ar-SA"/>
        </w:rPr>
        <w:t xml:space="preserve"> 1000 Wide Nozzle, in conjunction with a Zeiss Versa 610 X-ray Microscope, we demonstrate that delicate biological samples, otherwise degraded under lab X-ray imaging conditions, can be successfully imaged under stable cryogenic conditions over a period of several hours. </w:t>
      </w:r>
    </w:p>
    <w:p w14:paraId="1E9EEA8F" w14:textId="77777777" w:rsidR="00787F30" w:rsidRPr="00787F30" w:rsidRDefault="00787F30" w:rsidP="00787F30">
      <w:pPr>
        <w:pStyle w:val="IIR08KeyWords"/>
        <w:ind w:hanging="2"/>
        <w:rPr>
          <w:rFonts w:eastAsia="Times New Roman"/>
          <w:sz w:val="20"/>
          <w:lang w:eastAsia="de-DE" w:bidi="ar-SA"/>
        </w:rPr>
      </w:pPr>
      <w:r w:rsidRPr="00787F30">
        <w:rPr>
          <w:rFonts w:eastAsia="Times New Roman"/>
          <w:sz w:val="20"/>
          <w:lang w:eastAsia="de-DE" w:bidi="ar-SA"/>
        </w:rPr>
        <w:t>Whilst further tests are required, we observed enhancement of absorption contrast and signal-to-noise ratio by reduction of thermal scattering. We visualized fine structural details without heavy metal staining and other associated artefacts that often arise in conventional X-ray imaging.</w:t>
      </w:r>
    </w:p>
    <w:p w14:paraId="51992393" w14:textId="77777777" w:rsidR="00787F30" w:rsidRPr="00787F30" w:rsidRDefault="00787F30" w:rsidP="00787F30">
      <w:pPr>
        <w:pStyle w:val="IIR08KeyWords"/>
        <w:ind w:hanging="2"/>
        <w:rPr>
          <w:rFonts w:eastAsia="Times New Roman"/>
          <w:sz w:val="20"/>
          <w:lang w:eastAsia="de-DE" w:bidi="ar-SA"/>
        </w:rPr>
      </w:pPr>
      <w:r w:rsidRPr="00787F30">
        <w:rPr>
          <w:rFonts w:eastAsia="Times New Roman"/>
          <w:sz w:val="20"/>
          <w:lang w:eastAsia="de-DE" w:bidi="ar-SA"/>
        </w:rPr>
        <w:t xml:space="preserve">To map thermal gradients within the cryogenic stream, we used a thermal diode providing precise temperature data across the gas column, helping to guide future optimisation of cooling dynamics. These insights are important for ongoing work aimed at expanding the </w:t>
      </w:r>
      <w:proofErr w:type="spellStart"/>
      <w:r w:rsidRPr="00787F30">
        <w:rPr>
          <w:rFonts w:eastAsia="Times New Roman"/>
          <w:sz w:val="20"/>
          <w:lang w:eastAsia="de-DE" w:bidi="ar-SA"/>
        </w:rPr>
        <w:t>Cryostream’s</w:t>
      </w:r>
      <w:proofErr w:type="spellEnd"/>
      <w:r w:rsidRPr="00787F30">
        <w:rPr>
          <w:rFonts w:eastAsia="Times New Roman"/>
          <w:sz w:val="20"/>
          <w:lang w:eastAsia="de-DE" w:bidi="ar-SA"/>
        </w:rPr>
        <w:t xml:space="preserve"> application to a range of materials, with potential implications for fields like biomedicine, tissue preservation, tomography, aerospace, energy materials, and heritage artefacts. </w:t>
      </w:r>
    </w:p>
    <w:p w14:paraId="7AF69E02" w14:textId="77777777" w:rsidR="00787F30" w:rsidRPr="00787F30" w:rsidRDefault="00787F30" w:rsidP="00787F30">
      <w:pPr>
        <w:pStyle w:val="IIR08KeyWords"/>
        <w:ind w:hanging="2"/>
        <w:rPr>
          <w:rFonts w:eastAsia="Times New Roman"/>
          <w:sz w:val="20"/>
          <w:lang w:eastAsia="de-DE" w:bidi="ar-SA"/>
        </w:rPr>
      </w:pPr>
      <w:r w:rsidRPr="00787F30">
        <w:rPr>
          <w:rFonts w:eastAsia="Times New Roman"/>
          <w:sz w:val="20"/>
          <w:lang w:eastAsia="de-DE" w:bidi="ar-SA"/>
        </w:rPr>
        <w:t>This cryogenic X-ray system, therefore, represents a significant step towards lab-based cryogenic X-ray imaging, and further developments will focus on quantifying the contributions of X-ray absorption and scatter components at cryogenic temperatures, broadening the system’s capabilities for multi-modal microscopy and in situ analyses.</w:t>
      </w:r>
    </w:p>
    <w:p w14:paraId="6FEC066A" w14:textId="79F28450" w:rsidR="000101FA" w:rsidRPr="00787F30" w:rsidRDefault="00787F30" w:rsidP="00787F30">
      <w:pPr>
        <w:pStyle w:val="IIR08KeyWords"/>
        <w:ind w:hanging="2"/>
        <w:rPr>
          <w:rFonts w:eastAsia="Times New Roman"/>
          <w:sz w:val="20"/>
          <w:lang w:eastAsia="de-DE" w:bidi="ar-SA"/>
        </w:rPr>
      </w:pPr>
      <w:r w:rsidRPr="00A6541A">
        <w:rPr>
          <w:rFonts w:eastAsia="Times New Roman"/>
          <w:b/>
          <w:bCs/>
          <w:sz w:val="20"/>
          <w:lang w:eastAsia="de-DE" w:bidi="ar-SA"/>
        </w:rPr>
        <w:t>Keywords:</w:t>
      </w:r>
      <w:r w:rsidRPr="00787F30">
        <w:rPr>
          <w:rFonts w:eastAsia="Times New Roman"/>
          <w:sz w:val="20"/>
          <w:lang w:eastAsia="de-DE" w:bidi="ar-SA"/>
        </w:rPr>
        <w:t xml:space="preserve"> X-ray microscopy, hard X-ray, </w:t>
      </w:r>
      <w:proofErr w:type="spellStart"/>
      <w:r w:rsidRPr="00787F30">
        <w:rPr>
          <w:rFonts w:eastAsia="Times New Roman"/>
          <w:sz w:val="20"/>
          <w:lang w:eastAsia="de-DE" w:bidi="ar-SA"/>
        </w:rPr>
        <w:t>microCT</w:t>
      </w:r>
      <w:proofErr w:type="spellEnd"/>
      <w:r w:rsidRPr="00787F30">
        <w:rPr>
          <w:rFonts w:eastAsia="Times New Roman"/>
          <w:sz w:val="20"/>
          <w:lang w:eastAsia="de-DE" w:bidi="ar-SA"/>
        </w:rPr>
        <w:t xml:space="preserve">, multimodal microscopy, sample environments, cryogenic cooling, sample preservation, vitrification, tomography, open flow cooling, </w:t>
      </w:r>
      <w:proofErr w:type="spellStart"/>
      <w:r w:rsidRPr="00787F30">
        <w:rPr>
          <w:rFonts w:eastAsia="Times New Roman"/>
          <w:sz w:val="20"/>
          <w:lang w:eastAsia="de-DE" w:bidi="ar-SA"/>
        </w:rPr>
        <w:t>Cryostream</w:t>
      </w:r>
      <w:proofErr w:type="spellEnd"/>
      <w:r w:rsidRPr="00787F30">
        <w:rPr>
          <w:rFonts w:eastAsia="Times New Roman"/>
          <w:sz w:val="20"/>
          <w:lang w:eastAsia="de-DE" w:bidi="ar-SA"/>
        </w:rPr>
        <w:t xml:space="preserve"> 1000, Cobra, Wide Nozzle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CF9D7" wp14:editId="4B6968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9266183" name="_x0000_tole_rId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4D446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" filled="f" stroked="f"/>
            </w:pict>
          </mc:Fallback>
        </mc:AlternateContent>
      </w:r>
    </w:p>
    <w:sectPr w:rsidR="000101FA" w:rsidRPr="00787F30">
      <w:headerReference w:type="default" r:id="rId10"/>
      <w:footerReference w:type="default" r:id="rId11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96C95" w14:textId="77777777" w:rsidR="00E44607" w:rsidRDefault="00E44607">
      <w:pPr>
        <w:spacing w:after="0"/>
      </w:pPr>
      <w:r>
        <w:separator/>
      </w:r>
    </w:p>
  </w:endnote>
  <w:endnote w:type="continuationSeparator" w:id="0">
    <w:p w14:paraId="23508BA2" w14:textId="77777777" w:rsidR="00E44607" w:rsidRDefault="00E446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31A6" w14:textId="77777777" w:rsidR="000101FA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28E858D7" w14:textId="77777777" w:rsidR="000101FA" w:rsidRDefault="000101FA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5FD1A" w14:textId="77777777" w:rsidR="00E44607" w:rsidRDefault="00E44607">
      <w:pPr>
        <w:spacing w:after="0"/>
      </w:pPr>
      <w:r>
        <w:separator/>
      </w:r>
    </w:p>
  </w:footnote>
  <w:footnote w:type="continuationSeparator" w:id="0">
    <w:p w14:paraId="6357DEE2" w14:textId="77777777" w:rsidR="00E44607" w:rsidRDefault="00E446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90BE" w14:textId="77777777" w:rsidR="000101FA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FA"/>
    <w:rsid w:val="000101FA"/>
    <w:rsid w:val="00725079"/>
    <w:rsid w:val="00787F30"/>
    <w:rsid w:val="009760B7"/>
    <w:rsid w:val="00A6541A"/>
    <w:rsid w:val="00E4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7CD1"/>
  <w15:docId w15:val="{81167702-0BCF-B341-BFEA-937E065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IR03PaperTitle">
    <w:name w:val="IIR 03. Paper Title"/>
    <w:basedOn w:val="Normal"/>
    <w:next w:val="Normal"/>
    <w:autoRedefine/>
    <w:qFormat/>
    <w:rsid w:val="00787F30"/>
    <w:pPr>
      <w:suppressAutoHyphens w:val="0"/>
      <w:spacing w:before="100" w:beforeAutospacing="1" w:after="100" w:afterAutospacing="1" w:line="240" w:lineRule="exact"/>
      <w:jc w:val="center"/>
    </w:pPr>
    <w:rPr>
      <w:rFonts w:eastAsia="Calibri"/>
      <w:b/>
      <w:caps/>
      <w:sz w:val="28"/>
      <w:szCs w:val="48"/>
      <w:lang w:eastAsia="en-US"/>
    </w:rPr>
  </w:style>
  <w:style w:type="paragraph" w:customStyle="1" w:styleId="IIR05InstitutionAffiliations">
    <w:name w:val="IIR 05. Institution Affiliations"/>
    <w:basedOn w:val="Normal"/>
    <w:autoRedefine/>
    <w:qFormat/>
    <w:rsid w:val="00787F30"/>
    <w:pPr>
      <w:suppressAutoHyphens w:val="0"/>
      <w:spacing w:before="60" w:after="0" w:line="240" w:lineRule="exact"/>
      <w:ind w:hanging="2"/>
      <w:jc w:val="left"/>
    </w:pPr>
    <w:rPr>
      <w:rFonts w:eastAsia="Calibri"/>
      <w:sz w:val="22"/>
      <w:szCs w:val="18"/>
      <w:lang w:eastAsia="en-US"/>
    </w:rPr>
  </w:style>
  <w:style w:type="paragraph" w:customStyle="1" w:styleId="IIR08KeyWords">
    <w:name w:val="IIR 08. Key Words"/>
    <w:basedOn w:val="Normal"/>
    <w:next w:val="Normal"/>
    <w:autoRedefine/>
    <w:qFormat/>
    <w:rsid w:val="00787F30"/>
    <w:pPr>
      <w:suppressAutoHyphens w:val="0"/>
      <w:spacing w:before="240" w:after="240" w:line="240" w:lineRule="exact"/>
    </w:pPr>
    <w:rPr>
      <w:rFonts w:eastAsia="Calibri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cry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arles.wood@port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riana@oxcryo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2576</Characters>
  <Application>Microsoft Office Word</Application>
  <DocSecurity>0</DocSecurity>
  <Lines>21</Lines>
  <Paragraphs>6</Paragraphs>
  <ScaleCrop>false</ScaleCrop>
  <Company>MFF UK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Adriana Klyszejko</cp:lastModifiedBy>
  <cp:revision>3</cp:revision>
  <dcterms:created xsi:type="dcterms:W3CDTF">2025-04-30T09:12:00Z</dcterms:created>
  <dcterms:modified xsi:type="dcterms:W3CDTF">2025-04-30T09:13:00Z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