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B92" w14:textId="6878DC12" w:rsidR="0027320B" w:rsidRDefault="006B21BB">
      <w:pPr>
        <w:pStyle w:val="Nagwek1"/>
      </w:pPr>
      <w:r w:rsidRPr="006B21BB">
        <w:t xml:space="preserve">Solubility and permeability </w:t>
      </w:r>
      <w:r w:rsidR="00682857">
        <w:t>studies</w:t>
      </w:r>
      <w:r w:rsidRPr="006B21BB">
        <w:t xml:space="preserve"> of novel co-crystals </w:t>
      </w:r>
      <w:r w:rsidR="00682857">
        <w:t xml:space="preserve">of selected flavonoids </w:t>
      </w:r>
    </w:p>
    <w:p w14:paraId="4F041813" w14:textId="4B7A6443" w:rsidR="0027320B" w:rsidRPr="00682857" w:rsidRDefault="007F1301">
      <w:pPr>
        <w:pStyle w:val="Nagwek2"/>
        <w:rPr>
          <w:szCs w:val="20"/>
          <w:lang w:val="pl-PL"/>
        </w:rPr>
      </w:pPr>
      <w:r w:rsidRPr="00682857">
        <w:rPr>
          <w:szCs w:val="20"/>
          <w:lang w:val="pl-PL"/>
        </w:rPr>
        <w:t>K. Gibuła</w:t>
      </w:r>
      <w:r w:rsidRPr="00682857">
        <w:rPr>
          <w:szCs w:val="20"/>
          <w:vertAlign w:val="superscript"/>
          <w:lang w:val="pl-PL"/>
        </w:rPr>
        <w:t>1</w:t>
      </w:r>
      <w:r w:rsidRPr="00682857">
        <w:rPr>
          <w:szCs w:val="20"/>
          <w:lang w:val="pl-PL"/>
        </w:rPr>
        <w:t>, A. Zep</w:t>
      </w:r>
      <w:r w:rsidRPr="00682857">
        <w:rPr>
          <w:szCs w:val="20"/>
          <w:vertAlign w:val="superscript"/>
          <w:lang w:val="pl-PL"/>
        </w:rPr>
        <w:t>1</w:t>
      </w:r>
      <w:r w:rsidRPr="00682857">
        <w:rPr>
          <w:szCs w:val="20"/>
          <w:lang w:val="pl-PL"/>
        </w:rPr>
        <w:t>, A. Rosa</w:t>
      </w:r>
      <w:r w:rsidRPr="00682857">
        <w:rPr>
          <w:szCs w:val="20"/>
          <w:vertAlign w:val="superscript"/>
          <w:lang w:val="pl-PL"/>
        </w:rPr>
        <w:t>1</w:t>
      </w:r>
      <w:r w:rsidRPr="00682857">
        <w:rPr>
          <w:szCs w:val="20"/>
          <w:lang w:val="pl-PL"/>
        </w:rPr>
        <w:t>, A. Ciesielski</w:t>
      </w:r>
      <w:r w:rsidRPr="00682857">
        <w:rPr>
          <w:szCs w:val="20"/>
          <w:vertAlign w:val="superscript"/>
          <w:lang w:val="pl-PL"/>
        </w:rPr>
        <w:t>2</w:t>
      </w:r>
      <w:r w:rsidRPr="00682857">
        <w:rPr>
          <w:szCs w:val="20"/>
          <w:lang w:val="pl-PL"/>
        </w:rPr>
        <w:t>, A.Sadocha</w:t>
      </w:r>
      <w:r w:rsidRPr="00682857">
        <w:rPr>
          <w:szCs w:val="20"/>
          <w:vertAlign w:val="superscript"/>
          <w:lang w:val="pl-PL"/>
        </w:rPr>
        <w:t>2</w:t>
      </w:r>
      <w:r w:rsidRPr="00682857">
        <w:rPr>
          <w:szCs w:val="20"/>
          <w:lang w:val="pl-PL"/>
        </w:rPr>
        <w:t>, M.K. Cyrański</w:t>
      </w:r>
      <w:r w:rsidRPr="00682857">
        <w:rPr>
          <w:szCs w:val="20"/>
          <w:vertAlign w:val="superscript"/>
          <w:lang w:val="pl-PL"/>
        </w:rPr>
        <w:t>2</w:t>
      </w:r>
      <w:r w:rsidR="00C03530" w:rsidRPr="00682857">
        <w:rPr>
          <w:szCs w:val="20"/>
          <w:lang w:val="pl-PL"/>
        </w:rPr>
        <w:t>,</w:t>
      </w:r>
      <w:r w:rsidR="00C03530">
        <w:rPr>
          <w:szCs w:val="20"/>
          <w:lang w:val="pl-PL"/>
        </w:rPr>
        <w:t xml:space="preserve"> </w:t>
      </w:r>
      <w:r w:rsidR="00C03530" w:rsidRPr="00682857">
        <w:rPr>
          <w:szCs w:val="20"/>
          <w:lang w:val="pl-PL"/>
        </w:rPr>
        <w:t>M. Zezula</w:t>
      </w:r>
      <w:r w:rsidR="00C03530" w:rsidRPr="00682857">
        <w:rPr>
          <w:szCs w:val="20"/>
          <w:vertAlign w:val="superscript"/>
          <w:lang w:val="pl-PL"/>
        </w:rPr>
        <w:t>1</w:t>
      </w:r>
    </w:p>
    <w:p w14:paraId="6B1C6A70" w14:textId="77777777" w:rsidR="007F1301" w:rsidRDefault="005415E9">
      <w:pPr>
        <w:pStyle w:val="Nagwek3"/>
      </w:pPr>
      <w:r>
        <w:rPr>
          <w:vertAlign w:val="superscript"/>
        </w:rPr>
        <w:t>1</w:t>
      </w:r>
      <w:r w:rsidR="007F1301">
        <w:t xml:space="preserve">Łukasiewicz – Industrial Chemistry Institute, </w:t>
      </w:r>
      <w:proofErr w:type="spellStart"/>
      <w:r w:rsidR="007F1301">
        <w:t>Rydygiera</w:t>
      </w:r>
      <w:proofErr w:type="spellEnd"/>
      <w:r w:rsidR="007F1301">
        <w:t xml:space="preserve"> 8, 01-793 Warsaw</w:t>
      </w:r>
    </w:p>
    <w:p w14:paraId="3C2C4D37" w14:textId="77777777" w:rsidR="0027320B" w:rsidRDefault="005415E9">
      <w:pPr>
        <w:pStyle w:val="Nagwek3"/>
      </w:pPr>
      <w:r>
        <w:t xml:space="preserve"> </w:t>
      </w:r>
      <w:r>
        <w:rPr>
          <w:vertAlign w:val="superscript"/>
        </w:rPr>
        <w:t>2</w:t>
      </w:r>
      <w:r w:rsidR="007F1301">
        <w:t xml:space="preserve">Faculty of Chemistry, University of Warsaw, </w:t>
      </w:r>
      <w:proofErr w:type="spellStart"/>
      <w:r w:rsidR="007F1301">
        <w:t>Pasteura</w:t>
      </w:r>
      <w:proofErr w:type="spellEnd"/>
      <w:r w:rsidR="007F1301">
        <w:t xml:space="preserve"> 1, 02-093 Warsaw</w:t>
      </w:r>
    </w:p>
    <w:p w14:paraId="0A9AFAA5" w14:textId="77777777" w:rsidR="0027320B" w:rsidRDefault="006B2F69">
      <w:pPr>
        <w:pStyle w:val="Nagwek3"/>
        <w:rPr>
          <w:sz w:val="18"/>
          <w:szCs w:val="18"/>
        </w:rPr>
      </w:pPr>
      <w:r>
        <w:t>katarzyna</w:t>
      </w:r>
      <w:r w:rsidR="007F1301">
        <w:t>.gibula@ichp.lukasiewicz.gov.pl</w:t>
      </w:r>
    </w:p>
    <w:p w14:paraId="768E403D" w14:textId="77777777" w:rsidR="0027320B" w:rsidRDefault="00B1455E" w:rsidP="006B2F69">
      <w:r>
        <w:rPr>
          <w:noProof/>
          <w:lang w:eastAsia="en-GB"/>
        </w:rPr>
        <mc:AlternateContent>
          <mc:Choice Requires="wps">
            <w:drawing>
              <wp:anchor distT="0" distB="0" distL="114300" distR="114300" simplePos="0" relativeHeight="251657728" behindDoc="0" locked="0" layoutInCell="1" allowOverlap="1" wp14:anchorId="25D7555A" wp14:editId="50F21883">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47D3E"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p>
    <w:p w14:paraId="4A435C1F" w14:textId="77777777" w:rsidR="006B2F69" w:rsidRDefault="006B2F69" w:rsidP="006B2F69">
      <w:pPr>
        <w:rPr>
          <w:rStyle w:val="hwtze"/>
          <w:lang w:val="en"/>
        </w:rPr>
      </w:pPr>
      <w:r w:rsidRPr="006B0D70">
        <w:rPr>
          <w:rStyle w:val="rynqvb"/>
          <w:lang w:val="en"/>
        </w:rPr>
        <w:t>The therapeutic efficacy of drugs is determined by many factors.</w:t>
      </w:r>
      <w:r w:rsidRPr="006B0D70">
        <w:rPr>
          <w:rStyle w:val="hwtze"/>
          <w:lang w:val="en"/>
        </w:rPr>
        <w:t xml:space="preserve"> </w:t>
      </w:r>
      <w:r w:rsidRPr="006B0D70">
        <w:rPr>
          <w:rStyle w:val="rynqvb"/>
          <w:lang w:val="en"/>
        </w:rPr>
        <w:t>Examples of such factors include the solubility of the active pharmaceutical ingredient (API) and its permeability.</w:t>
      </w:r>
      <w:r w:rsidRPr="006B0D70">
        <w:rPr>
          <w:rStyle w:val="hwtze"/>
          <w:lang w:val="en"/>
        </w:rPr>
        <w:t xml:space="preserve"> </w:t>
      </w:r>
    </w:p>
    <w:p w14:paraId="1531E3C3" w14:textId="77777777" w:rsidR="006B2F69" w:rsidRDefault="006B2F69" w:rsidP="006B2F69">
      <w:pPr>
        <w:rPr>
          <w:rStyle w:val="rynqvb"/>
          <w:lang w:val="en"/>
        </w:rPr>
      </w:pPr>
      <w:r w:rsidRPr="006B0D70">
        <w:rPr>
          <w:rStyle w:val="rynqvb"/>
          <w:lang w:val="en"/>
        </w:rPr>
        <w:t>From a pharmaceutical point of view, an active ingredient is classified as highly soluble if the highest single therapeutic dose is completely soluble in 250 milliliters (ml) of aqueous solutions at pH 1.2–6.8 at 37±1°C.</w:t>
      </w:r>
      <w:r w:rsidRPr="006B0D70">
        <w:rPr>
          <w:rStyle w:val="hwtze"/>
          <w:lang w:val="en"/>
        </w:rPr>
        <w:t xml:space="preserve"> </w:t>
      </w:r>
      <w:r w:rsidRPr="006B0D70">
        <w:rPr>
          <w:rStyle w:val="rynqvb"/>
          <w:lang w:val="en"/>
        </w:rPr>
        <w:t xml:space="preserve">The assessment of API permeability through biological membranes of a living organism is based on pharmacokinetic studies determining the degree of absorption of the active substance, e.g., absolute bioavailability or mass-balance </w:t>
      </w:r>
    </w:p>
    <w:p w14:paraId="35FB62CB" w14:textId="77777777" w:rsidR="006B2F69" w:rsidRDefault="006B2F69" w:rsidP="006B2F69">
      <w:pPr>
        <w:rPr>
          <w:rStyle w:val="rynqvb"/>
          <w:lang w:val="en"/>
        </w:rPr>
      </w:pPr>
      <w:r w:rsidRPr="006B0D70">
        <w:rPr>
          <w:rStyle w:val="rynqvb"/>
          <w:lang w:val="en"/>
        </w:rPr>
        <w:t>The correlation between solubility and permeability was used to divide active substances into 4 groups - BCS (Biopharmaceutics Classification System):</w:t>
      </w:r>
    </w:p>
    <w:p w14:paraId="0809CD02" w14:textId="77777777" w:rsidR="006B2F69" w:rsidRDefault="006B2F69" w:rsidP="006B2F69">
      <w:pPr>
        <w:rPr>
          <w:rStyle w:val="rynqvb"/>
          <w:lang w:val="en"/>
        </w:rPr>
      </w:pPr>
      <w:r w:rsidRPr="006B0D70">
        <w:rPr>
          <w:rStyle w:val="rynqvb"/>
          <w:lang w:val="en"/>
        </w:rPr>
        <w:t xml:space="preserve"> • Class I: high solubility, high permeability</w:t>
      </w:r>
    </w:p>
    <w:p w14:paraId="7B0A6F3C" w14:textId="77777777" w:rsidR="006B2F69" w:rsidRDefault="006B2F69" w:rsidP="006B2F69">
      <w:pPr>
        <w:rPr>
          <w:rStyle w:val="rynqvb"/>
          <w:lang w:val="en"/>
        </w:rPr>
      </w:pPr>
      <w:r w:rsidRPr="006B0D70">
        <w:rPr>
          <w:rStyle w:val="rynqvb"/>
          <w:lang w:val="en"/>
        </w:rPr>
        <w:t xml:space="preserve"> • Class II: low solubility, high permeability</w:t>
      </w:r>
    </w:p>
    <w:p w14:paraId="5A5A42C3" w14:textId="77777777" w:rsidR="006B2F69" w:rsidRDefault="006B2F69" w:rsidP="006B2F69">
      <w:pPr>
        <w:rPr>
          <w:rStyle w:val="rynqvb"/>
          <w:lang w:val="en"/>
        </w:rPr>
      </w:pPr>
      <w:r w:rsidRPr="006B0D70">
        <w:rPr>
          <w:rStyle w:val="rynqvb"/>
          <w:lang w:val="en"/>
        </w:rPr>
        <w:t xml:space="preserve"> • Class III: high solubility, low permeability</w:t>
      </w:r>
    </w:p>
    <w:p w14:paraId="53C01751" w14:textId="77777777" w:rsidR="006B2F69" w:rsidRDefault="006B2F69" w:rsidP="006B2F69">
      <w:pPr>
        <w:rPr>
          <w:rStyle w:val="rynqvb"/>
          <w:lang w:val="en"/>
        </w:rPr>
      </w:pPr>
      <w:r w:rsidRPr="006B0D70">
        <w:rPr>
          <w:rStyle w:val="rynqvb"/>
          <w:lang w:val="en"/>
        </w:rPr>
        <w:t xml:space="preserve"> • Class IV: low solubility, low permeability [1,2] </w:t>
      </w:r>
    </w:p>
    <w:p w14:paraId="0B4B6E86" w14:textId="77777777" w:rsidR="006B2F69" w:rsidRPr="00012917" w:rsidRDefault="006B2F69" w:rsidP="006B2F69">
      <w:pPr>
        <w:rPr>
          <w:rStyle w:val="rynqvb"/>
        </w:rPr>
      </w:pPr>
      <w:r w:rsidRPr="006B0D70">
        <w:rPr>
          <w:rStyle w:val="rynqvb"/>
          <w:lang w:val="en"/>
        </w:rPr>
        <w:t xml:space="preserve">Based on the BCS classification, it was estimated that approx. 40 - 60% of active substances present on the market have poor solubility, and in the case of newly designed particles, even approx. 90% may belong to BCS classes II and IV.[3] </w:t>
      </w:r>
      <w:r w:rsidR="00012917">
        <w:rPr>
          <w:rStyle w:val="rynqvb"/>
          <w:lang w:val="en"/>
        </w:rPr>
        <w:t>Therefore, for selected active substances it is necessary to improve their solubility and permeability.</w:t>
      </w:r>
      <w:r w:rsidR="00012917">
        <w:rPr>
          <w:rStyle w:val="hwtze"/>
          <w:lang w:val="en"/>
        </w:rPr>
        <w:t xml:space="preserve"> </w:t>
      </w:r>
      <w:r w:rsidR="00012917">
        <w:rPr>
          <w:rStyle w:val="rynqvb"/>
          <w:lang w:val="en"/>
        </w:rPr>
        <w:t>The most commonly used methods of increasing API solubility are chemical or physical modifications.</w:t>
      </w:r>
      <w:r w:rsidR="0088703C">
        <w:rPr>
          <w:rStyle w:val="rynqvb"/>
          <w:lang w:val="en"/>
        </w:rPr>
        <w:t>[4]</w:t>
      </w:r>
    </w:p>
    <w:p w14:paraId="67DBB3F7" w14:textId="0ABDF1AF" w:rsidR="006B2F69" w:rsidRPr="006B0D70" w:rsidRDefault="0017663A" w:rsidP="006B2F69">
      <w:r w:rsidRPr="00825A43">
        <w:rPr>
          <w:lang w:val="en-US" w:eastAsia="cs-CZ"/>
        </w:rPr>
        <w:t>Flavonoids are</w:t>
      </w:r>
      <w:r>
        <w:rPr>
          <w:lang w:val="en-US" w:eastAsia="cs-CZ"/>
        </w:rPr>
        <w:t xml:space="preserve"> </w:t>
      </w:r>
      <w:r w:rsidRPr="00825A43">
        <w:rPr>
          <w:lang w:val="en-US" w:eastAsia="cs-CZ"/>
        </w:rPr>
        <w:t>biologically active substances</w:t>
      </w:r>
      <w:r>
        <w:rPr>
          <w:lang w:val="en-US" w:eastAsia="cs-CZ"/>
        </w:rPr>
        <w:t xml:space="preserve"> exhibited </w:t>
      </w:r>
      <w:r w:rsidRPr="004D0213">
        <w:rPr>
          <w:lang w:eastAsia="cs-CZ"/>
        </w:rPr>
        <w:t>a range of health-promoting effects</w:t>
      </w:r>
      <w:r>
        <w:rPr>
          <w:lang w:eastAsia="cs-CZ"/>
        </w:rPr>
        <w:t xml:space="preserve"> </w:t>
      </w:r>
      <w:r w:rsidRPr="004D0213">
        <w:rPr>
          <w:lang w:eastAsia="cs-CZ"/>
        </w:rPr>
        <w:t>such as antioxidation, anti-inflammatory, antitumor</w:t>
      </w:r>
      <w:r>
        <w:rPr>
          <w:lang w:val="en-US" w:eastAsia="cs-CZ"/>
        </w:rPr>
        <w:t xml:space="preserve"> </w:t>
      </w:r>
      <w:r w:rsidRPr="00825A43">
        <w:rPr>
          <w:lang w:val="en-US" w:eastAsia="cs-CZ"/>
        </w:rPr>
        <w:t>pharmacological properties</w:t>
      </w:r>
      <w:r>
        <w:rPr>
          <w:lang w:val="en-US" w:eastAsia="cs-CZ"/>
        </w:rPr>
        <w:t xml:space="preserve"> [5]. </w:t>
      </w:r>
      <w:r w:rsidRPr="004D0213">
        <w:rPr>
          <w:lang w:eastAsia="cs-CZ"/>
        </w:rPr>
        <w:t>While these compounds are promising in terms of efficiency, their low solubility and poor bioavailability [</w:t>
      </w:r>
      <w:r>
        <w:rPr>
          <w:lang w:eastAsia="cs-CZ"/>
        </w:rPr>
        <w:t>6</w:t>
      </w:r>
      <w:r w:rsidRPr="004D0213">
        <w:rPr>
          <w:lang w:eastAsia="cs-CZ"/>
        </w:rPr>
        <w:t>] decreased their potential of possible application in pharmaceutical formulations</w:t>
      </w:r>
      <w:r>
        <w:rPr>
          <w:lang w:eastAsia="cs-CZ"/>
        </w:rPr>
        <w:t xml:space="preserve">. </w:t>
      </w:r>
      <w:r w:rsidR="006B2F69" w:rsidRPr="006B0D70">
        <w:rPr>
          <w:rStyle w:val="rynqvb"/>
          <w:lang w:val="en"/>
        </w:rPr>
        <w:t>The aim of our research was to</w:t>
      </w:r>
      <w:r>
        <w:rPr>
          <w:rStyle w:val="rynqvb"/>
          <w:lang w:val="en"/>
        </w:rPr>
        <w:t> </w:t>
      </w:r>
      <w:r w:rsidR="006B2F69" w:rsidRPr="006B0D70">
        <w:rPr>
          <w:rStyle w:val="rynqvb"/>
          <w:lang w:val="en"/>
        </w:rPr>
        <w:t xml:space="preserve">synthesize novel co-crystals of </w:t>
      </w:r>
      <w:r w:rsidR="00C76A4E">
        <w:rPr>
          <w:rStyle w:val="rynqvb"/>
          <w:lang w:val="en"/>
        </w:rPr>
        <w:t>selected flavonoids</w:t>
      </w:r>
      <w:r w:rsidR="006B2F69" w:rsidRPr="006B0D70">
        <w:rPr>
          <w:rStyle w:val="rynqvb"/>
          <w:lang w:val="en"/>
        </w:rPr>
        <w:t xml:space="preserve"> with </w:t>
      </w:r>
      <w:proofErr w:type="spellStart"/>
      <w:r w:rsidR="006B2F69" w:rsidRPr="006B0D70">
        <w:rPr>
          <w:rStyle w:val="rynqvb"/>
          <w:lang w:val="en"/>
        </w:rPr>
        <w:t>coformers</w:t>
      </w:r>
      <w:proofErr w:type="spellEnd"/>
      <w:r w:rsidR="006B2F69" w:rsidRPr="006B0D70">
        <w:rPr>
          <w:rStyle w:val="rynqvb"/>
          <w:lang w:val="en"/>
        </w:rPr>
        <w:t xml:space="preserve"> containing N-he</w:t>
      </w:r>
      <w:r w:rsidR="00C76A4E">
        <w:rPr>
          <w:rStyle w:val="rynqvb"/>
          <w:lang w:val="en"/>
        </w:rPr>
        <w:t>t</w:t>
      </w:r>
      <w:r w:rsidR="006B2F69" w:rsidRPr="006B0D70">
        <w:rPr>
          <w:rStyle w:val="rynqvb"/>
          <w:lang w:val="en"/>
        </w:rPr>
        <w:t>erocyclic aromatic unit in order to improve the</w:t>
      </w:r>
      <w:r>
        <w:rPr>
          <w:rStyle w:val="rynqvb"/>
          <w:lang w:val="en"/>
        </w:rPr>
        <w:t> </w:t>
      </w:r>
      <w:r w:rsidR="006B2F69" w:rsidRPr="006B0D70">
        <w:rPr>
          <w:rStyle w:val="rynqvb"/>
          <w:lang w:val="en"/>
        </w:rPr>
        <w:t>solubility.</w:t>
      </w:r>
      <w:r w:rsidR="006B2F69" w:rsidRPr="006B0D70">
        <w:rPr>
          <w:rStyle w:val="hwtze"/>
          <w:lang w:val="en"/>
        </w:rPr>
        <w:t xml:space="preserve"> </w:t>
      </w:r>
      <w:r w:rsidR="006B2F69" w:rsidRPr="006B0D70">
        <w:rPr>
          <w:rStyle w:val="rynqvb"/>
          <w:lang w:val="en"/>
        </w:rPr>
        <w:t xml:space="preserve">As part of the work, we examined and compared the solubility and permeability of co-crystals with pure </w:t>
      </w:r>
      <w:r w:rsidR="00C76A4E">
        <w:rPr>
          <w:rStyle w:val="rynqvb"/>
          <w:lang w:val="en"/>
        </w:rPr>
        <w:t>compound</w:t>
      </w:r>
      <w:r w:rsidR="006B2F69" w:rsidRPr="006B0D70">
        <w:rPr>
          <w:rStyle w:val="rynqvb"/>
          <w:lang w:val="en"/>
        </w:rPr>
        <w:t>.</w:t>
      </w:r>
      <w:r w:rsidR="004D2B1F">
        <w:rPr>
          <w:rStyle w:val="rynqvb"/>
          <w:lang w:val="en"/>
        </w:rPr>
        <w:t xml:space="preserve"> T</w:t>
      </w:r>
      <w:r w:rsidR="004D2B1F" w:rsidRPr="004D2B1F">
        <w:rPr>
          <w:rStyle w:val="rynqvb"/>
          <w:lang w:val="en"/>
        </w:rPr>
        <w:t>he</w:t>
      </w:r>
      <w:r>
        <w:rPr>
          <w:rStyle w:val="rynqvb"/>
          <w:lang w:val="en"/>
        </w:rPr>
        <w:t> </w:t>
      </w:r>
      <w:r w:rsidR="004D2B1F" w:rsidRPr="004D2B1F">
        <w:rPr>
          <w:rStyle w:val="rynqvb"/>
          <w:lang w:val="en"/>
        </w:rPr>
        <w:t>improved permeation rate and solubility of studied co-crystals allows us to preliminarily assume that the bioavailability of</w:t>
      </w:r>
      <w:r>
        <w:rPr>
          <w:rStyle w:val="rynqvb"/>
          <w:lang w:val="en"/>
        </w:rPr>
        <w:t> </w:t>
      </w:r>
      <w:r w:rsidR="004D2B1F" w:rsidRPr="004D2B1F">
        <w:rPr>
          <w:rStyle w:val="rynqvb"/>
          <w:lang w:val="en"/>
        </w:rPr>
        <w:t>the</w:t>
      </w:r>
      <w:r>
        <w:rPr>
          <w:rStyle w:val="rynqvb"/>
          <w:lang w:val="en"/>
        </w:rPr>
        <w:t> </w:t>
      </w:r>
      <w:r w:rsidR="004D2B1F" w:rsidRPr="004D2B1F">
        <w:rPr>
          <w:rStyle w:val="rynqvb"/>
          <w:lang w:val="en"/>
        </w:rPr>
        <w:t xml:space="preserve">substances present in co-crystal will be improved over its </w:t>
      </w:r>
      <w:proofErr w:type="spellStart"/>
      <w:r w:rsidR="004D2B1F" w:rsidRPr="004D2B1F">
        <w:rPr>
          <w:rStyle w:val="rynqvb"/>
          <w:lang w:val="en"/>
        </w:rPr>
        <w:t>uncomplexed</w:t>
      </w:r>
      <w:proofErr w:type="spellEnd"/>
      <w:r w:rsidR="004D2B1F" w:rsidRPr="004D2B1F">
        <w:rPr>
          <w:rStyle w:val="rynqvb"/>
          <w:lang w:val="en"/>
        </w:rPr>
        <w:t xml:space="preserve"> form</w:t>
      </w:r>
      <w:r w:rsidR="00F90331">
        <w:rPr>
          <w:rStyle w:val="rynqvb"/>
          <w:lang w:val="en"/>
        </w:rPr>
        <w:t>.</w:t>
      </w:r>
    </w:p>
    <w:p w14:paraId="789AC54D" w14:textId="77777777" w:rsidR="004D0213" w:rsidRDefault="004D0213" w:rsidP="004D2B1F">
      <w:pPr>
        <w:rPr>
          <w:lang w:eastAsia="cs-CZ"/>
        </w:rPr>
      </w:pPr>
    </w:p>
    <w:p w14:paraId="2F302127" w14:textId="0B1F7FA7" w:rsidR="0027320B" w:rsidRPr="004D2B1F" w:rsidRDefault="005415E9" w:rsidP="002E3768">
      <w:pPr>
        <w:rPr>
          <w:sz w:val="18"/>
          <w:szCs w:val="18"/>
        </w:rPr>
      </w:pPr>
      <w:r w:rsidRPr="006B2F69">
        <w:rPr>
          <w:sz w:val="18"/>
          <w:szCs w:val="18"/>
        </w:rPr>
        <w:t>[</w:t>
      </w:r>
      <w:r w:rsidR="006B2F69" w:rsidRPr="006B2F69">
        <w:rPr>
          <w:sz w:val="18"/>
          <w:szCs w:val="18"/>
        </w:rPr>
        <w:t>1] EMA; guideline on the investigation of bioequivalence; CPMP/EWP/QWP/1401/98 Rev. 1; London, 20 January 2010</w:t>
      </w:r>
      <w:r w:rsidR="00C03530">
        <w:rPr>
          <w:sz w:val="18"/>
          <w:szCs w:val="18"/>
        </w:rPr>
        <w:t>.</w:t>
      </w:r>
    </w:p>
    <w:p w14:paraId="647496E1" w14:textId="5116ECA3" w:rsidR="004D2B1F" w:rsidRDefault="005415E9" w:rsidP="002E3768">
      <w:pPr>
        <w:pStyle w:val="Nagwek4"/>
      </w:pPr>
      <w:r>
        <w:t xml:space="preserve">[2] </w:t>
      </w:r>
      <w:r w:rsidR="004D2B1F">
        <w:t>ICH;</w:t>
      </w:r>
      <w:r w:rsidR="004D2B1F" w:rsidRPr="001A3272">
        <w:t xml:space="preserve"> </w:t>
      </w:r>
      <w:r w:rsidR="004D2B1F">
        <w:t xml:space="preserve">M9 Biopharmaceutics Classification System-Based Biowaivers </w:t>
      </w:r>
      <w:r w:rsidR="004D2B1F" w:rsidRPr="001A3272">
        <w:t>Guidance for Industry</w:t>
      </w:r>
      <w:r w:rsidR="004D2B1F">
        <w:t>; May 2021</w:t>
      </w:r>
      <w:r w:rsidR="00C03530">
        <w:t>.</w:t>
      </w:r>
    </w:p>
    <w:p w14:paraId="67CD1B0A" w14:textId="3B0D5FC3" w:rsidR="0027320B" w:rsidRPr="00012917" w:rsidRDefault="00012917" w:rsidP="002E3768">
      <w:pPr>
        <w:pStyle w:val="Nagwek4"/>
        <w:suppressAutoHyphens w:val="0"/>
        <w:ind w:left="0" w:firstLine="0"/>
        <w:rPr>
          <w:szCs w:val="18"/>
        </w:rPr>
      </w:pPr>
      <w:r>
        <w:t>[3</w:t>
      </w:r>
      <w:r w:rsidRPr="00012917">
        <w:t xml:space="preserve">] </w:t>
      </w:r>
      <w:r w:rsidR="0017663A">
        <w:t xml:space="preserve">Malaz, A.; Yousef, E.; Vangala, V.R. </w:t>
      </w:r>
      <w:r w:rsidR="00C03530">
        <w:t>(</w:t>
      </w:r>
      <w:r w:rsidR="00C03530" w:rsidRPr="00C03530">
        <w:rPr>
          <w:bCs w:val="0"/>
        </w:rPr>
        <w:t>2019</w:t>
      </w:r>
      <w:r w:rsidR="00C03530">
        <w:rPr>
          <w:bCs w:val="0"/>
        </w:rPr>
        <w:t>)</w:t>
      </w:r>
      <w:r w:rsidR="00C03530">
        <w:t xml:space="preserve">, </w:t>
      </w:r>
      <w:r w:rsidR="0017663A" w:rsidRPr="00DA2363">
        <w:rPr>
          <w:i/>
        </w:rPr>
        <w:t>Crys. Growth Des.</w:t>
      </w:r>
      <w:r w:rsidR="0017663A">
        <w:t xml:space="preserve"> </w:t>
      </w:r>
      <w:r w:rsidR="0017663A" w:rsidRPr="00C03530">
        <w:rPr>
          <w:b/>
          <w:bCs w:val="0"/>
        </w:rPr>
        <w:t>19</w:t>
      </w:r>
      <w:r w:rsidR="0017663A">
        <w:t>, 7420.</w:t>
      </w:r>
    </w:p>
    <w:p w14:paraId="42933EA7" w14:textId="249A9E2F" w:rsidR="001200FE" w:rsidRDefault="00012917" w:rsidP="002E3768">
      <w:pPr>
        <w:suppressAutoHyphens w:val="0"/>
        <w:rPr>
          <w:sz w:val="18"/>
          <w:szCs w:val="18"/>
          <w:lang w:eastAsia="cs-CZ"/>
        </w:rPr>
      </w:pPr>
      <w:r>
        <w:rPr>
          <w:sz w:val="18"/>
          <w:szCs w:val="18"/>
          <w:lang w:eastAsia="cs-CZ"/>
        </w:rPr>
        <w:t>[4]</w:t>
      </w:r>
      <w:r w:rsidRPr="00012917">
        <w:t xml:space="preserve"> </w:t>
      </w:r>
      <w:r w:rsidR="001200FE" w:rsidRPr="002E3768">
        <w:rPr>
          <w:sz w:val="18"/>
          <w:szCs w:val="18"/>
          <w:lang w:eastAsia="cs-CZ"/>
        </w:rPr>
        <w:t xml:space="preserve">Z. Wang, Qi Li, Qi An, L. Gong, S. Yang, B. Zhang, Bin Su, </w:t>
      </w:r>
      <w:proofErr w:type="spellStart"/>
      <w:r w:rsidR="002E3768" w:rsidRPr="002E3768">
        <w:rPr>
          <w:sz w:val="18"/>
          <w:szCs w:val="18"/>
          <w:lang w:eastAsia="cs-CZ"/>
        </w:rPr>
        <w:t>Dezhi</w:t>
      </w:r>
      <w:proofErr w:type="spellEnd"/>
      <w:r w:rsidR="002E3768" w:rsidRPr="002E3768">
        <w:rPr>
          <w:sz w:val="18"/>
          <w:szCs w:val="18"/>
          <w:lang w:eastAsia="cs-CZ"/>
        </w:rPr>
        <w:t xml:space="preserve"> Yang, Li Zhang, </w:t>
      </w:r>
      <w:r w:rsidR="002E3768">
        <w:rPr>
          <w:sz w:val="18"/>
          <w:szCs w:val="18"/>
          <w:lang w:eastAsia="cs-CZ"/>
        </w:rPr>
        <w:t xml:space="preserve">Yang Lu, </w:t>
      </w:r>
      <w:proofErr w:type="spellStart"/>
      <w:r w:rsidR="002E3768">
        <w:rPr>
          <w:sz w:val="18"/>
          <w:szCs w:val="18"/>
          <w:lang w:eastAsia="cs-CZ"/>
        </w:rPr>
        <w:t>Guanhua</w:t>
      </w:r>
      <w:proofErr w:type="spellEnd"/>
      <w:r w:rsidR="002E3768">
        <w:rPr>
          <w:sz w:val="18"/>
          <w:szCs w:val="18"/>
          <w:lang w:eastAsia="cs-CZ"/>
        </w:rPr>
        <w:t xml:space="preserve"> Du,</w:t>
      </w:r>
      <w:r w:rsidR="00C03530">
        <w:rPr>
          <w:sz w:val="18"/>
          <w:szCs w:val="18"/>
          <w:lang w:eastAsia="cs-CZ"/>
        </w:rPr>
        <w:t xml:space="preserve"> </w:t>
      </w:r>
      <w:r w:rsidR="00C03530" w:rsidRPr="002E3768">
        <w:rPr>
          <w:sz w:val="18"/>
          <w:szCs w:val="18"/>
          <w:lang w:eastAsia="cs-CZ"/>
        </w:rPr>
        <w:t>(2023)</w:t>
      </w:r>
      <w:r w:rsidR="002E3768">
        <w:rPr>
          <w:sz w:val="18"/>
          <w:szCs w:val="18"/>
          <w:lang w:eastAsia="cs-CZ"/>
        </w:rPr>
        <w:t xml:space="preserve"> </w:t>
      </w:r>
      <w:r w:rsidR="002E3768" w:rsidRPr="002E3768">
        <w:rPr>
          <w:i/>
          <w:sz w:val="18"/>
          <w:szCs w:val="18"/>
          <w:lang w:eastAsia="cs-CZ"/>
        </w:rPr>
        <w:t>Natural Products and Bioprospecting</w:t>
      </w:r>
      <w:r w:rsidR="002E3768" w:rsidRPr="002E3768">
        <w:rPr>
          <w:sz w:val="18"/>
          <w:szCs w:val="18"/>
          <w:lang w:eastAsia="cs-CZ"/>
        </w:rPr>
        <w:t xml:space="preserve"> </w:t>
      </w:r>
    </w:p>
    <w:p w14:paraId="2ECBF98C" w14:textId="2AE9A0DB" w:rsidR="0058141B" w:rsidRPr="0058141B" w:rsidRDefault="0017663A" w:rsidP="0058141B">
      <w:pPr>
        <w:suppressAutoHyphens w:val="0"/>
        <w:rPr>
          <w:sz w:val="18"/>
          <w:szCs w:val="18"/>
          <w:lang w:val="en-US" w:eastAsia="cs-CZ"/>
        </w:rPr>
      </w:pPr>
      <w:r>
        <w:rPr>
          <w:sz w:val="18"/>
          <w:szCs w:val="18"/>
          <w:lang w:val="en-US" w:eastAsia="cs-CZ"/>
        </w:rPr>
        <w:t>[5]</w:t>
      </w:r>
      <w:r w:rsidR="0058141B" w:rsidRPr="0058141B">
        <w:rPr>
          <w:sz w:val="18"/>
          <w:szCs w:val="18"/>
          <w:lang w:val="en-US" w:eastAsia="cs-CZ"/>
        </w:rPr>
        <w:t xml:space="preserve"> Crozier, A.; Jaganath, I. B.; Clifford, M. N. </w:t>
      </w:r>
      <w:r w:rsidR="00C03530">
        <w:rPr>
          <w:sz w:val="18"/>
          <w:szCs w:val="18"/>
          <w:lang w:val="en-US" w:eastAsia="cs-CZ"/>
        </w:rPr>
        <w:t>(</w:t>
      </w:r>
      <w:r w:rsidR="00C03530" w:rsidRPr="0058141B">
        <w:rPr>
          <w:sz w:val="18"/>
          <w:szCs w:val="18"/>
          <w:lang w:val="en-US" w:eastAsia="cs-CZ"/>
        </w:rPr>
        <w:t>2009</w:t>
      </w:r>
      <w:r w:rsidR="00C03530">
        <w:rPr>
          <w:sz w:val="18"/>
          <w:szCs w:val="18"/>
          <w:lang w:val="en-US" w:eastAsia="cs-CZ"/>
        </w:rPr>
        <w:t>)</w:t>
      </w:r>
      <w:r w:rsidR="00C03530" w:rsidRPr="0058141B">
        <w:rPr>
          <w:sz w:val="18"/>
          <w:szCs w:val="18"/>
          <w:lang w:val="en-US" w:eastAsia="cs-CZ"/>
        </w:rPr>
        <w:t>,</w:t>
      </w:r>
      <w:r w:rsidR="00C03530">
        <w:rPr>
          <w:sz w:val="18"/>
          <w:szCs w:val="18"/>
          <w:lang w:val="en-US" w:eastAsia="cs-CZ"/>
        </w:rPr>
        <w:t xml:space="preserve"> </w:t>
      </w:r>
      <w:r w:rsidR="0058141B" w:rsidRPr="0058141B">
        <w:rPr>
          <w:i/>
          <w:iCs/>
          <w:sz w:val="18"/>
          <w:szCs w:val="18"/>
          <w:lang w:val="en-US" w:eastAsia="cs-CZ"/>
        </w:rPr>
        <w:t>Nat. Prod. Rep</w:t>
      </w:r>
      <w:r w:rsidR="0058141B" w:rsidRPr="0058141B">
        <w:rPr>
          <w:sz w:val="18"/>
          <w:szCs w:val="18"/>
          <w:lang w:val="en-US" w:eastAsia="cs-CZ"/>
        </w:rPr>
        <w:t xml:space="preserve">. </w:t>
      </w:r>
      <w:r w:rsidR="0058141B" w:rsidRPr="00C03530">
        <w:rPr>
          <w:b/>
          <w:bCs/>
          <w:sz w:val="18"/>
          <w:szCs w:val="18"/>
          <w:lang w:val="en-US" w:eastAsia="cs-CZ"/>
        </w:rPr>
        <w:t>26</w:t>
      </w:r>
      <w:r w:rsidR="0058141B" w:rsidRPr="0058141B">
        <w:rPr>
          <w:sz w:val="18"/>
          <w:szCs w:val="18"/>
          <w:lang w:val="en-US" w:eastAsia="cs-CZ"/>
        </w:rPr>
        <w:t>,</w:t>
      </w:r>
      <w:r w:rsidR="0058141B">
        <w:rPr>
          <w:sz w:val="18"/>
          <w:szCs w:val="18"/>
          <w:lang w:val="en-US" w:eastAsia="cs-CZ"/>
        </w:rPr>
        <w:t xml:space="preserve"> </w:t>
      </w:r>
      <w:r w:rsidR="0058141B" w:rsidRPr="0058141B">
        <w:rPr>
          <w:sz w:val="18"/>
          <w:szCs w:val="18"/>
          <w:lang w:val="en-US" w:eastAsia="cs-CZ"/>
        </w:rPr>
        <w:t>1001.</w:t>
      </w:r>
    </w:p>
    <w:p w14:paraId="3CD28AEF" w14:textId="7C337A34" w:rsidR="0058141B" w:rsidRDefault="0017663A" w:rsidP="0058141B">
      <w:pPr>
        <w:suppressAutoHyphens w:val="0"/>
        <w:rPr>
          <w:sz w:val="18"/>
          <w:szCs w:val="18"/>
          <w:lang w:val="en-US" w:eastAsia="cs-CZ"/>
        </w:rPr>
      </w:pPr>
      <w:r>
        <w:rPr>
          <w:sz w:val="18"/>
          <w:szCs w:val="18"/>
          <w:lang w:val="en-US" w:eastAsia="cs-CZ"/>
        </w:rPr>
        <w:t>[6]</w:t>
      </w:r>
      <w:r w:rsidR="0058141B" w:rsidRPr="0058141B">
        <w:rPr>
          <w:sz w:val="18"/>
          <w:szCs w:val="18"/>
          <w:lang w:val="en-US" w:eastAsia="cs-CZ"/>
        </w:rPr>
        <w:t xml:space="preserve"> </w:t>
      </w:r>
      <w:proofErr w:type="spellStart"/>
      <w:r w:rsidR="0058141B" w:rsidRPr="0058141B">
        <w:rPr>
          <w:sz w:val="18"/>
          <w:szCs w:val="18"/>
          <w:lang w:val="en-US" w:eastAsia="cs-CZ"/>
        </w:rPr>
        <w:t>Mignet</w:t>
      </w:r>
      <w:proofErr w:type="spellEnd"/>
      <w:r w:rsidR="0058141B" w:rsidRPr="0058141B">
        <w:rPr>
          <w:sz w:val="18"/>
          <w:szCs w:val="18"/>
          <w:lang w:val="en-US" w:eastAsia="cs-CZ"/>
        </w:rPr>
        <w:t>, N.; Seguin, J.; Ramos Romano, M.; Brulle</w:t>
      </w:r>
      <w:r w:rsidR="0058141B" w:rsidRPr="0058141B">
        <w:rPr>
          <w:rFonts w:hint="eastAsia"/>
          <w:sz w:val="18"/>
          <w:szCs w:val="18"/>
          <w:lang w:val="en-US" w:eastAsia="cs-CZ"/>
        </w:rPr>
        <w:t>́</w:t>
      </w:r>
      <w:r w:rsidR="0058141B" w:rsidRPr="0058141B">
        <w:rPr>
          <w:sz w:val="18"/>
          <w:szCs w:val="18"/>
          <w:lang w:val="en-US" w:eastAsia="cs-CZ"/>
        </w:rPr>
        <w:t xml:space="preserve">, L.; Touil, Y. </w:t>
      </w:r>
      <w:proofErr w:type="spellStart"/>
      <w:r w:rsidR="0058141B" w:rsidRPr="0058141B">
        <w:rPr>
          <w:sz w:val="18"/>
          <w:szCs w:val="18"/>
          <w:lang w:val="en-US" w:eastAsia="cs-CZ"/>
        </w:rPr>
        <w:t>S.;Scherman</w:t>
      </w:r>
      <w:proofErr w:type="spellEnd"/>
      <w:r w:rsidR="0058141B" w:rsidRPr="0058141B">
        <w:rPr>
          <w:sz w:val="18"/>
          <w:szCs w:val="18"/>
          <w:lang w:val="en-US" w:eastAsia="cs-CZ"/>
        </w:rPr>
        <w:t xml:space="preserve">, D.; </w:t>
      </w:r>
      <w:proofErr w:type="spellStart"/>
      <w:r w:rsidR="0058141B" w:rsidRPr="0058141B">
        <w:rPr>
          <w:sz w:val="18"/>
          <w:szCs w:val="18"/>
          <w:lang w:val="en-US" w:eastAsia="cs-CZ"/>
        </w:rPr>
        <w:t>Bessodes</w:t>
      </w:r>
      <w:proofErr w:type="spellEnd"/>
      <w:r w:rsidR="0058141B" w:rsidRPr="0058141B">
        <w:rPr>
          <w:sz w:val="18"/>
          <w:szCs w:val="18"/>
          <w:lang w:val="en-US" w:eastAsia="cs-CZ"/>
        </w:rPr>
        <w:t xml:space="preserve">, M.; Chabot, G. G. </w:t>
      </w:r>
      <w:r w:rsidR="00C03530">
        <w:rPr>
          <w:sz w:val="18"/>
          <w:szCs w:val="18"/>
          <w:lang w:val="en-US" w:eastAsia="cs-CZ"/>
        </w:rPr>
        <w:t>(</w:t>
      </w:r>
      <w:r w:rsidR="00C03530" w:rsidRPr="0058141B">
        <w:rPr>
          <w:sz w:val="18"/>
          <w:szCs w:val="18"/>
          <w:lang w:val="en-US" w:eastAsia="cs-CZ"/>
        </w:rPr>
        <w:t>2012</w:t>
      </w:r>
      <w:r w:rsidR="00C03530">
        <w:rPr>
          <w:sz w:val="18"/>
          <w:szCs w:val="18"/>
          <w:lang w:val="en-US" w:eastAsia="cs-CZ"/>
        </w:rPr>
        <w:t>)</w:t>
      </w:r>
      <w:r w:rsidR="00C03530" w:rsidRPr="0058141B">
        <w:rPr>
          <w:sz w:val="18"/>
          <w:szCs w:val="18"/>
          <w:lang w:val="en-US" w:eastAsia="cs-CZ"/>
        </w:rPr>
        <w:t>,</w:t>
      </w:r>
      <w:r w:rsidR="00C03530">
        <w:rPr>
          <w:sz w:val="18"/>
          <w:szCs w:val="18"/>
          <w:lang w:val="en-US" w:eastAsia="cs-CZ"/>
        </w:rPr>
        <w:t xml:space="preserve"> </w:t>
      </w:r>
      <w:r w:rsidR="0058141B" w:rsidRPr="0058141B">
        <w:rPr>
          <w:i/>
          <w:iCs/>
          <w:sz w:val="18"/>
          <w:szCs w:val="18"/>
          <w:lang w:val="en-US" w:eastAsia="cs-CZ"/>
        </w:rPr>
        <w:t>Int. J. Pharm</w:t>
      </w:r>
      <w:r w:rsidR="0058141B" w:rsidRPr="0058141B">
        <w:rPr>
          <w:sz w:val="18"/>
          <w:szCs w:val="18"/>
          <w:lang w:val="en-US" w:eastAsia="cs-CZ"/>
        </w:rPr>
        <w:t xml:space="preserve">. </w:t>
      </w:r>
      <w:r w:rsidR="0058141B" w:rsidRPr="00C03530">
        <w:rPr>
          <w:b/>
          <w:bCs/>
          <w:sz w:val="18"/>
          <w:szCs w:val="18"/>
          <w:lang w:val="en-US" w:eastAsia="cs-CZ"/>
        </w:rPr>
        <w:t>423</w:t>
      </w:r>
      <w:r w:rsidR="0058141B" w:rsidRPr="0058141B">
        <w:rPr>
          <w:sz w:val="18"/>
          <w:szCs w:val="18"/>
          <w:lang w:val="en-US" w:eastAsia="cs-CZ"/>
        </w:rPr>
        <w:t>, 69.</w:t>
      </w:r>
    </w:p>
    <w:p w14:paraId="5CA7D537" w14:textId="77777777" w:rsidR="006E3CE5" w:rsidRDefault="006E3CE5" w:rsidP="006E3CE5">
      <w:pPr>
        <w:pStyle w:val="Acknowledgement"/>
        <w:rPr>
          <w:lang w:eastAsia="cs-CZ"/>
        </w:rPr>
      </w:pPr>
    </w:p>
    <w:p w14:paraId="442F94FF" w14:textId="2815AD24" w:rsidR="006E3CE5" w:rsidRPr="006E3CE5" w:rsidRDefault="006E3CE5" w:rsidP="006E3CE5">
      <w:pPr>
        <w:pStyle w:val="Acknowledgement"/>
      </w:pPr>
      <w:r w:rsidRPr="00202229">
        <w:rPr>
          <w:lang w:eastAsia="cs-CZ"/>
        </w:rPr>
        <w:t>The research was performed on the basis of cooperation agreement between Łukasiewicz Research Network – Industrial Chemistry Institute and Faculty of Chemistry, University of Warsaw</w:t>
      </w:r>
      <w:r>
        <w:rPr>
          <w:lang w:eastAsia="cs-CZ"/>
        </w:rPr>
        <w:t>.</w:t>
      </w:r>
    </w:p>
    <w:sectPr w:rsidR="006E3CE5" w:rsidRPr="006E3CE5">
      <w:headerReference w:type="default" r:id="rId7"/>
      <w:footerReference w:type="default" r:id="rId8"/>
      <w:pgSz w:w="12240" w:h="15840"/>
      <w:pgMar w:top="765" w:right="720" w:bottom="765" w:left="720" w:header="708" w:footer="708" w:gutter="0"/>
      <w:cols w:space="708"/>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A73" w14:textId="77777777" w:rsidR="007D32A2" w:rsidRDefault="007D32A2">
      <w:pPr>
        <w:spacing w:after="0"/>
      </w:pPr>
      <w:r>
        <w:separator/>
      </w:r>
    </w:p>
  </w:endnote>
  <w:endnote w:type="continuationSeparator" w:id="0">
    <w:p w14:paraId="261CCDB1" w14:textId="77777777" w:rsidR="007D32A2" w:rsidRDefault="007D32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4A99" w14:textId="77777777" w:rsidR="0027320B" w:rsidRDefault="005415E9">
    <w:pPr>
      <w:pStyle w:val="Stopka"/>
    </w:pPr>
    <w:r>
      <w:t xml:space="preserve">Acta </w:t>
    </w:r>
    <w:proofErr w:type="spellStart"/>
    <w:r>
      <w:t>Cryst</w:t>
    </w:r>
    <w:proofErr w:type="spellEnd"/>
    <w:r>
      <w:t>. (2025). A81, e1</w:t>
    </w:r>
  </w:p>
  <w:p w14:paraId="01C97AE5" w14:textId="77777777" w:rsidR="0027320B" w:rsidRDefault="0027320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E0426" w14:textId="77777777" w:rsidR="007D32A2" w:rsidRDefault="007D32A2">
      <w:pPr>
        <w:spacing w:after="0"/>
      </w:pPr>
      <w:r>
        <w:separator/>
      </w:r>
    </w:p>
  </w:footnote>
  <w:footnote w:type="continuationSeparator" w:id="0">
    <w:p w14:paraId="16655C24" w14:textId="77777777" w:rsidR="007D32A2" w:rsidRDefault="007D32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B737" w14:textId="77777777" w:rsidR="0027320B" w:rsidRDefault="005415E9">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0B"/>
    <w:rsid w:val="00012917"/>
    <w:rsid w:val="001200FE"/>
    <w:rsid w:val="001203AC"/>
    <w:rsid w:val="0017663A"/>
    <w:rsid w:val="0027320B"/>
    <w:rsid w:val="002E3768"/>
    <w:rsid w:val="004D0213"/>
    <w:rsid w:val="004D2B1F"/>
    <w:rsid w:val="004D6507"/>
    <w:rsid w:val="005415E9"/>
    <w:rsid w:val="0058141B"/>
    <w:rsid w:val="00584BE7"/>
    <w:rsid w:val="00682857"/>
    <w:rsid w:val="006B21BB"/>
    <w:rsid w:val="006B2F69"/>
    <w:rsid w:val="006E3CE5"/>
    <w:rsid w:val="007D32A2"/>
    <w:rsid w:val="007F1301"/>
    <w:rsid w:val="00825A43"/>
    <w:rsid w:val="0088703C"/>
    <w:rsid w:val="008C33C5"/>
    <w:rsid w:val="009F0EED"/>
    <w:rsid w:val="00B1455E"/>
    <w:rsid w:val="00C03530"/>
    <w:rsid w:val="00C76A4E"/>
    <w:rsid w:val="00DE068C"/>
    <w:rsid w:val="00EF74AB"/>
    <w:rsid w:val="00F9033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1C06"/>
  <w15:docId w15:val="{999F483E-2333-456B-A28F-FD26E219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275"/>
    <w:pPr>
      <w:spacing w:after="120"/>
      <w:jc w:val="both"/>
    </w:pPr>
    <w:rPr>
      <w:lang w:eastAsia="de-DE"/>
    </w:rPr>
  </w:style>
  <w:style w:type="paragraph" w:styleId="Nagwek1">
    <w:name w:val="heading 1"/>
    <w:basedOn w:val="Normalny"/>
    <w:next w:val="Nagwek2"/>
    <w:link w:val="Nagwek1Znak"/>
    <w:uiPriority w:val="99"/>
    <w:qFormat/>
    <w:rsid w:val="00925275"/>
    <w:pPr>
      <w:keepNext/>
      <w:spacing w:before="240" w:after="60"/>
      <w:jc w:val="center"/>
      <w:outlineLvl w:val="0"/>
    </w:pPr>
    <w:rPr>
      <w:rFonts w:ascii="Arial" w:hAnsi="Arial" w:cs="Arial"/>
      <w:b/>
      <w:bCs/>
      <w:kern w:val="2"/>
      <w:sz w:val="24"/>
      <w:szCs w:val="32"/>
    </w:rPr>
  </w:style>
  <w:style w:type="paragraph" w:styleId="Nagwek2">
    <w:name w:val="heading 2"/>
    <w:basedOn w:val="Normalny"/>
    <w:next w:val="Nagwek3"/>
    <w:link w:val="Nagwek2Znak"/>
    <w:uiPriority w:val="99"/>
    <w:qFormat/>
    <w:rsid w:val="00925275"/>
    <w:pPr>
      <w:keepNext/>
      <w:spacing w:before="240" w:after="240"/>
      <w:jc w:val="center"/>
      <w:outlineLvl w:val="1"/>
    </w:pPr>
    <w:rPr>
      <w:rFonts w:ascii="Arial" w:hAnsi="Arial" w:cs="Arial"/>
      <w:b/>
      <w:bCs/>
      <w:iCs/>
      <w:szCs w:val="28"/>
    </w:rPr>
  </w:style>
  <w:style w:type="paragraph" w:styleId="Nagwek3">
    <w:name w:val="heading 3"/>
    <w:basedOn w:val="Normalny"/>
    <w:next w:val="Normalny"/>
    <w:link w:val="Nagwek3Znak"/>
    <w:uiPriority w:val="99"/>
    <w:qFormat/>
    <w:rsid w:val="002E03DB"/>
    <w:pPr>
      <w:keepNext/>
      <w:jc w:val="center"/>
      <w:outlineLvl w:val="2"/>
    </w:pPr>
    <w:rPr>
      <w:bCs/>
      <w:i/>
      <w:szCs w:val="24"/>
      <w:lang w:eastAsia="cs-CZ"/>
    </w:rPr>
  </w:style>
  <w:style w:type="paragraph" w:styleId="Nagwek4">
    <w:name w:val="heading 4"/>
    <w:basedOn w:val="Normalny"/>
    <w:next w:val="Normalny"/>
    <w:link w:val="Nagwek4Znak"/>
    <w:uiPriority w:val="99"/>
    <w:qFormat/>
    <w:rsid w:val="00FF732E"/>
    <w:pPr>
      <w:keepNext/>
      <w:ind w:left="567" w:hanging="567"/>
      <w:outlineLvl w:val="3"/>
    </w:pPr>
    <w:rPr>
      <w:bCs/>
      <w:sz w:val="18"/>
      <w:szCs w:val="24"/>
      <w:lang w:eastAsia="cs-CZ"/>
    </w:rPr>
  </w:style>
  <w:style w:type="paragraph" w:styleId="Nagwek5">
    <w:name w:val="heading 5"/>
    <w:basedOn w:val="Nagwek6"/>
    <w:next w:val="Normalny"/>
    <w:link w:val="Nagwek5Znak"/>
    <w:uiPriority w:val="9"/>
    <w:unhideWhenUsed/>
    <w:qFormat/>
    <w:rsid w:val="00605A18"/>
    <w:pPr>
      <w:outlineLvl w:val="4"/>
    </w:pPr>
    <w:rPr>
      <w:b/>
    </w:rPr>
  </w:style>
  <w:style w:type="paragraph" w:styleId="Nagwek6">
    <w:name w:val="heading 6"/>
    <w:basedOn w:val="Normalny"/>
    <w:next w:val="Normalny"/>
    <w:link w:val="Nagwek6Znak"/>
    <w:uiPriority w:val="9"/>
    <w:unhideWhenUsed/>
    <w:qFormat/>
    <w:rsid w:val="00777DA8"/>
    <w:pPr>
      <w:spacing w:after="60"/>
      <w:jc w:val="center"/>
      <w:outlineLvl w:val="5"/>
    </w:pPr>
    <w:rPr>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925275"/>
    <w:rPr>
      <w:rFonts w:ascii="Arial" w:hAnsi="Arial" w:cs="Arial"/>
      <w:b/>
      <w:bCs/>
      <w:kern w:val="2"/>
      <w:sz w:val="24"/>
      <w:szCs w:val="32"/>
      <w:lang w:val="en-GB" w:eastAsia="de-DE"/>
    </w:rPr>
  </w:style>
  <w:style w:type="character" w:customStyle="1" w:styleId="Nagwek2Znak">
    <w:name w:val="Nagłówek 2 Znak"/>
    <w:link w:val="Nagwek2"/>
    <w:uiPriority w:val="99"/>
    <w:qFormat/>
    <w:locked/>
    <w:rsid w:val="00925275"/>
    <w:rPr>
      <w:rFonts w:ascii="Arial" w:hAnsi="Arial" w:cs="Arial"/>
      <w:b/>
      <w:bCs/>
      <w:iCs/>
      <w:sz w:val="22"/>
      <w:szCs w:val="28"/>
      <w:lang w:val="en-GB" w:eastAsia="de-DE"/>
    </w:rPr>
  </w:style>
  <w:style w:type="character" w:customStyle="1" w:styleId="Nagwek3Znak">
    <w:name w:val="Nagłówek 3 Znak"/>
    <w:link w:val="Nagwek3"/>
    <w:uiPriority w:val="99"/>
    <w:qFormat/>
    <w:locked/>
    <w:rsid w:val="002E03DB"/>
    <w:rPr>
      <w:bCs/>
      <w:i/>
      <w:sz w:val="22"/>
      <w:szCs w:val="24"/>
      <w:lang w:val="en-GB"/>
    </w:rPr>
  </w:style>
  <w:style w:type="character" w:customStyle="1" w:styleId="Nagwek4Znak">
    <w:name w:val="Nagłówek 4 Znak"/>
    <w:link w:val="Nagwek4"/>
    <w:uiPriority w:val="99"/>
    <w:qFormat/>
    <w:locked/>
    <w:rsid w:val="00FF732E"/>
    <w:rPr>
      <w:bCs/>
      <w:sz w:val="18"/>
      <w:szCs w:val="24"/>
      <w:lang w:val="en-GB"/>
    </w:rPr>
  </w:style>
  <w:style w:type="character" w:customStyle="1" w:styleId="HTML-adresZnak">
    <w:name w:val="HTML - adres Znak"/>
    <w:link w:val="HTML-adres"/>
    <w:uiPriority w:val="99"/>
    <w:semiHidden/>
    <w:qFormat/>
    <w:rsid w:val="005E6DCD"/>
    <w:rPr>
      <w:i/>
      <w:iCs/>
      <w:lang w:val="de-DE" w:eastAsia="de-DE"/>
    </w:rPr>
  </w:style>
  <w:style w:type="character" w:customStyle="1" w:styleId="Nagwek5Znak">
    <w:name w:val="Nagłówek 5 Znak"/>
    <w:link w:val="Nagwek5"/>
    <w:uiPriority w:val="9"/>
    <w:qFormat/>
    <w:rsid w:val="00605A18"/>
    <w:rPr>
      <w:b/>
      <w:bCs/>
      <w:szCs w:val="22"/>
      <w:lang w:val="en-GB" w:eastAsia="de-DE"/>
    </w:rPr>
  </w:style>
  <w:style w:type="character" w:customStyle="1" w:styleId="Nagwek6Znak">
    <w:name w:val="Nagłówek 6 Znak"/>
    <w:link w:val="Nagwek6"/>
    <w:uiPriority w:val="9"/>
    <w:qFormat/>
    <w:rsid w:val="00777DA8"/>
    <w:rPr>
      <w:rFonts w:eastAsia="Times New Roman" w:cs="Times New Roman"/>
      <w:bCs/>
      <w:szCs w:val="22"/>
      <w:lang w:val="de-DE" w:eastAsia="de-DE"/>
    </w:rPr>
  </w:style>
  <w:style w:type="character" w:customStyle="1" w:styleId="NagwekZnak">
    <w:name w:val="Nagłówek Znak"/>
    <w:link w:val="Nagwek"/>
    <w:uiPriority w:val="99"/>
    <w:qFormat/>
    <w:rsid w:val="00D13351"/>
    <w:rPr>
      <w:lang w:val="en-GB" w:eastAsia="de-DE"/>
    </w:rPr>
  </w:style>
  <w:style w:type="character" w:customStyle="1" w:styleId="StopkaZnak">
    <w:name w:val="Stopka Znak"/>
    <w:link w:val="Stopka"/>
    <w:uiPriority w:val="99"/>
    <w:qFormat/>
    <w:rsid w:val="00D13351"/>
    <w:rPr>
      <w:lang w:val="en-GB" w:eastAsia="de-DE"/>
    </w:rPr>
  </w:style>
  <w:style w:type="character" w:customStyle="1" w:styleId="TekstdymkaZnak">
    <w:name w:val="Tekst dymka Znak"/>
    <w:link w:val="Tekstdymka"/>
    <w:uiPriority w:val="99"/>
    <w:semiHidden/>
    <w:qFormat/>
    <w:rsid w:val="00C64DBE"/>
    <w:rPr>
      <w:rFonts w:ascii="Tahoma" w:hAnsi="Tahoma" w:cs="Tahoma"/>
      <w:sz w:val="16"/>
      <w:szCs w:val="16"/>
      <w:lang w:val="en-GB" w:eastAsia="de-DE"/>
    </w:rPr>
  </w:style>
  <w:style w:type="paragraph" w:customStyle="1" w:styleId="Heading">
    <w:name w:val="Heading"/>
    <w:basedOn w:val="Normalny"/>
    <w:next w:val="Tekstpodstawowy"/>
    <w:qFormat/>
    <w:pPr>
      <w:keepNext/>
      <w:spacing w:before="24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Acknowledgement">
    <w:name w:val="Acknowledgement"/>
    <w:basedOn w:val="Normalny"/>
    <w:qFormat/>
    <w:rsid w:val="00777DA8"/>
    <w:rPr>
      <w:i/>
    </w:rPr>
  </w:style>
  <w:style w:type="paragraph" w:styleId="HTML-adres">
    <w:name w:val="HTML Address"/>
    <w:basedOn w:val="Normalny"/>
    <w:link w:val="HTML-adresZnak"/>
    <w:uiPriority w:val="99"/>
    <w:semiHidden/>
    <w:unhideWhenUsed/>
    <w:qFormat/>
    <w:rsid w:val="005E6DCD"/>
    <w:rPr>
      <w:i/>
      <w:iC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D13351"/>
    <w:pPr>
      <w:tabs>
        <w:tab w:val="center" w:pos="4536"/>
        <w:tab w:val="right" w:pos="9072"/>
      </w:tabs>
    </w:pPr>
  </w:style>
  <w:style w:type="paragraph" w:styleId="Stopka">
    <w:name w:val="footer"/>
    <w:basedOn w:val="Normalny"/>
    <w:link w:val="StopkaZnak"/>
    <w:uiPriority w:val="99"/>
    <w:unhideWhenUsed/>
    <w:rsid w:val="00D13351"/>
    <w:pPr>
      <w:tabs>
        <w:tab w:val="center" w:pos="4536"/>
        <w:tab w:val="right" w:pos="9072"/>
      </w:tabs>
    </w:pPr>
  </w:style>
  <w:style w:type="paragraph" w:styleId="Tekstdymka">
    <w:name w:val="Balloon Text"/>
    <w:basedOn w:val="Normalny"/>
    <w:link w:val="TekstdymkaZnak"/>
    <w:uiPriority w:val="99"/>
    <w:semiHidden/>
    <w:unhideWhenUsed/>
    <w:qFormat/>
    <w:rsid w:val="00C64DBE"/>
    <w:pPr>
      <w:spacing w:after="0"/>
    </w:pPr>
    <w:rPr>
      <w:rFonts w:ascii="Tahoma" w:hAnsi="Tahoma" w:cs="Tahoma"/>
      <w:sz w:val="16"/>
      <w:szCs w:val="16"/>
    </w:rPr>
  </w:style>
  <w:style w:type="table" w:styleId="Tabela-Siatka">
    <w:name w:val="Table Grid"/>
    <w:basedOn w:val="Standardowy"/>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6B21BB"/>
  </w:style>
  <w:style w:type="character" w:customStyle="1" w:styleId="hwtze">
    <w:name w:val="hwtze"/>
    <w:basedOn w:val="Domylnaczcionkaakapitu"/>
    <w:rsid w:val="006B2F69"/>
  </w:style>
  <w:style w:type="character" w:styleId="Hipercze">
    <w:name w:val="Hyperlink"/>
    <w:basedOn w:val="Domylnaczcionkaakapitu"/>
    <w:uiPriority w:val="99"/>
    <w:unhideWhenUsed/>
    <w:rsid w:val="00F90331"/>
    <w:rPr>
      <w:color w:val="0563C1" w:themeColor="hyperlink"/>
      <w:u w:val="single"/>
    </w:rPr>
  </w:style>
  <w:style w:type="character" w:styleId="Nierozpoznanawzmianka">
    <w:name w:val="Unresolved Mention"/>
    <w:basedOn w:val="Domylnaczcionkaakapitu"/>
    <w:uiPriority w:val="99"/>
    <w:semiHidden/>
    <w:unhideWhenUsed/>
    <w:rsid w:val="00825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77100">
      <w:bodyDiv w:val="1"/>
      <w:marLeft w:val="0"/>
      <w:marRight w:val="0"/>
      <w:marTop w:val="0"/>
      <w:marBottom w:val="0"/>
      <w:divBdr>
        <w:top w:val="none" w:sz="0" w:space="0" w:color="auto"/>
        <w:left w:val="none" w:sz="0" w:space="0" w:color="auto"/>
        <w:bottom w:val="none" w:sz="0" w:space="0" w:color="auto"/>
        <w:right w:val="none" w:sz="0" w:space="0" w:color="auto"/>
      </w:divBdr>
      <w:divsChild>
        <w:div w:id="1134251380">
          <w:marLeft w:val="0"/>
          <w:marRight w:val="0"/>
          <w:marTop w:val="0"/>
          <w:marBottom w:val="0"/>
          <w:divBdr>
            <w:top w:val="none" w:sz="0" w:space="0" w:color="auto"/>
            <w:left w:val="none" w:sz="0" w:space="0" w:color="auto"/>
            <w:bottom w:val="none" w:sz="0" w:space="0" w:color="auto"/>
            <w:right w:val="none" w:sz="0" w:space="0" w:color="auto"/>
          </w:divBdr>
        </w:div>
        <w:div w:id="975453898">
          <w:marLeft w:val="0"/>
          <w:marRight w:val="0"/>
          <w:marTop w:val="0"/>
          <w:marBottom w:val="0"/>
          <w:divBdr>
            <w:top w:val="none" w:sz="0" w:space="0" w:color="auto"/>
            <w:left w:val="none" w:sz="0" w:space="0" w:color="auto"/>
            <w:bottom w:val="none" w:sz="0" w:space="0" w:color="auto"/>
            <w:right w:val="none" w:sz="0" w:space="0" w:color="auto"/>
          </w:divBdr>
          <w:divsChild>
            <w:div w:id="1101950682">
              <w:marLeft w:val="0"/>
              <w:marRight w:val="0"/>
              <w:marTop w:val="0"/>
              <w:marBottom w:val="0"/>
              <w:divBdr>
                <w:top w:val="none" w:sz="0" w:space="0" w:color="auto"/>
                <w:left w:val="none" w:sz="0" w:space="0" w:color="auto"/>
                <w:bottom w:val="none" w:sz="0" w:space="0" w:color="auto"/>
                <w:right w:val="none" w:sz="0" w:space="0" w:color="auto"/>
              </w:divBdr>
              <w:divsChild>
                <w:div w:id="1685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2F0C7-BEEF-4AC4-A031-6C271395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3003</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Materials Structure</vt:lpstr>
    </vt:vector>
  </TitlesOfParts>
  <Company>MFF UK</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Katarzyna Gibuła | Łukasiewicz – ICHP</cp:lastModifiedBy>
  <cp:revision>2</cp:revision>
  <dcterms:created xsi:type="dcterms:W3CDTF">2025-05-08T10:46:00Z</dcterms:created>
  <dcterms:modified xsi:type="dcterms:W3CDTF">2025-05-08T10:46:00Z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