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CF38F" w14:textId="2F689A39" w:rsidR="00CC14C8" w:rsidRDefault="00A308CA">
      <w:pPr>
        <w:pStyle w:val="Nagwek1"/>
      </w:pPr>
      <w:r>
        <w:t xml:space="preserve">Nornicotine </w:t>
      </w:r>
      <w:r w:rsidRPr="00A308CA">
        <w:t>enantiomers</w:t>
      </w:r>
      <w:r w:rsidR="002A20BF">
        <w:t xml:space="preserve"> and</w:t>
      </w:r>
      <w:r>
        <w:t xml:space="preserve"> </w:t>
      </w:r>
      <w:r w:rsidR="002A20BF">
        <w:t xml:space="preserve">their </w:t>
      </w:r>
      <w:r>
        <w:t>salts –</w:t>
      </w:r>
      <w:r w:rsidR="00FB2F54">
        <w:t xml:space="preserve"> </w:t>
      </w:r>
      <w:r>
        <w:t>crystallographic cases</w:t>
      </w:r>
      <w:r w:rsidR="003C39D2">
        <w:t xml:space="preserve"> </w:t>
      </w:r>
      <w:r w:rsidR="003C39D2" w:rsidRPr="003C39D2">
        <w:t xml:space="preserve">on the way to the synthesis </w:t>
      </w:r>
      <w:r w:rsidR="003C39D2">
        <w:t>and</w:t>
      </w:r>
      <w:r w:rsidR="003C39D2" w:rsidRPr="003C39D2">
        <w:t xml:space="preserve"> enantioseparation</w:t>
      </w:r>
      <w:r w:rsidR="003C39D2">
        <w:t xml:space="preserve"> of pure </w:t>
      </w:r>
      <w:r w:rsidR="003C39D2" w:rsidRPr="003C39D2">
        <w:t>(S)-nicotine</w:t>
      </w:r>
    </w:p>
    <w:p w14:paraId="586891C9" w14:textId="0C180C2E" w:rsidR="00CC14C8" w:rsidRPr="00A25BD7" w:rsidRDefault="00A308CA">
      <w:pPr>
        <w:pStyle w:val="Nagwek2"/>
        <w:rPr>
          <w:lang w:val="pl-PL"/>
        </w:rPr>
      </w:pPr>
      <w:r w:rsidRPr="00A25BD7">
        <w:rPr>
          <w:u w:val="single"/>
          <w:lang w:val="pl-PL"/>
        </w:rPr>
        <w:t>B. Miroslaw</w:t>
      </w:r>
      <w:r w:rsidRPr="00A25BD7">
        <w:rPr>
          <w:u w:val="single"/>
          <w:vertAlign w:val="superscript"/>
          <w:lang w:val="pl-PL"/>
        </w:rPr>
        <w:t>1*</w:t>
      </w:r>
      <w:r w:rsidRPr="00A25BD7">
        <w:rPr>
          <w:u w:val="single"/>
          <w:lang w:val="pl-PL"/>
        </w:rPr>
        <w:t>,</w:t>
      </w:r>
      <w:r w:rsidRPr="00A25BD7">
        <w:rPr>
          <w:lang w:val="pl-PL"/>
        </w:rPr>
        <w:t xml:space="preserve"> N</w:t>
      </w:r>
      <w:r w:rsidR="00A25BD7" w:rsidRPr="00A25BD7">
        <w:rPr>
          <w:lang w:val="pl-PL"/>
        </w:rPr>
        <w:t>.</w:t>
      </w:r>
      <w:r w:rsidRPr="00A25BD7">
        <w:rPr>
          <w:lang w:val="pl-PL"/>
        </w:rPr>
        <w:t xml:space="preserve"> Trotsko</w:t>
      </w:r>
      <w:r w:rsidRPr="00A25BD7">
        <w:rPr>
          <w:vertAlign w:val="superscript"/>
          <w:lang w:val="pl-PL"/>
        </w:rPr>
        <w:t>2</w:t>
      </w:r>
      <w:r w:rsidRPr="00A25BD7">
        <w:rPr>
          <w:lang w:val="pl-PL"/>
        </w:rPr>
        <w:t>, R</w:t>
      </w:r>
      <w:r w:rsidR="00A25BD7" w:rsidRPr="00A25BD7">
        <w:rPr>
          <w:lang w:val="pl-PL"/>
        </w:rPr>
        <w:t>.</w:t>
      </w:r>
      <w:r w:rsidRPr="00A25BD7">
        <w:rPr>
          <w:lang w:val="pl-PL"/>
        </w:rPr>
        <w:t xml:space="preserve"> Jasiński</w:t>
      </w:r>
      <w:r w:rsidRPr="00A25BD7">
        <w:rPr>
          <w:vertAlign w:val="superscript"/>
          <w:lang w:val="pl-PL"/>
        </w:rPr>
        <w:t>3</w:t>
      </w:r>
      <w:r w:rsidRPr="00A25BD7">
        <w:rPr>
          <w:lang w:val="pl-PL"/>
        </w:rPr>
        <w:t>, M</w:t>
      </w:r>
      <w:r w:rsidR="00A25BD7" w:rsidRPr="00A25BD7">
        <w:rPr>
          <w:lang w:val="pl-PL"/>
        </w:rPr>
        <w:t>. D</w:t>
      </w:r>
      <w:r w:rsidRPr="00A25BD7">
        <w:rPr>
          <w:lang w:val="pl-PL"/>
        </w:rPr>
        <w:t>ługosz</w:t>
      </w:r>
      <w:r w:rsidRPr="00A25BD7">
        <w:rPr>
          <w:vertAlign w:val="superscript"/>
          <w:lang w:val="pl-PL"/>
        </w:rPr>
        <w:t>4</w:t>
      </w:r>
      <w:r w:rsidRPr="00A25BD7">
        <w:rPr>
          <w:lang w:val="pl-PL"/>
        </w:rPr>
        <w:t>, M</w:t>
      </w:r>
      <w:r w:rsidR="00A25BD7" w:rsidRPr="00A25BD7">
        <w:rPr>
          <w:lang w:val="pl-PL"/>
        </w:rPr>
        <w:t>.</w:t>
      </w:r>
      <w:r w:rsidRPr="00A25BD7">
        <w:rPr>
          <w:lang w:val="pl-PL"/>
        </w:rPr>
        <w:t xml:space="preserve"> Sadczuk</w:t>
      </w:r>
      <w:r w:rsidRPr="00A25BD7">
        <w:rPr>
          <w:vertAlign w:val="superscript"/>
          <w:lang w:val="pl-PL"/>
        </w:rPr>
        <w:t>5</w:t>
      </w:r>
      <w:r w:rsidRPr="00A25BD7">
        <w:rPr>
          <w:lang w:val="pl-PL"/>
        </w:rPr>
        <w:t xml:space="preserve"> and O</w:t>
      </w:r>
      <w:r w:rsidR="00A25BD7" w:rsidRPr="00A25BD7">
        <w:rPr>
          <w:lang w:val="pl-PL"/>
        </w:rPr>
        <w:t>.</w:t>
      </w:r>
      <w:r w:rsidRPr="00A25BD7">
        <w:rPr>
          <w:lang w:val="pl-PL"/>
        </w:rPr>
        <w:t xml:space="preserve"> M. Demchuk</w:t>
      </w:r>
      <w:r w:rsidRPr="00A25BD7">
        <w:rPr>
          <w:vertAlign w:val="superscript"/>
          <w:lang w:val="pl-PL"/>
        </w:rPr>
        <w:t>6</w:t>
      </w:r>
    </w:p>
    <w:p w14:paraId="3EADA7E2" w14:textId="70853228" w:rsidR="00CC14C8" w:rsidRDefault="0064777A" w:rsidP="00A25BD7">
      <w:pPr>
        <w:pStyle w:val="Nagwek3"/>
      </w:pPr>
      <w:r>
        <w:rPr>
          <w:vertAlign w:val="superscript"/>
        </w:rPr>
        <w:t>1</w:t>
      </w:r>
      <w:r w:rsidR="00A25BD7" w:rsidRPr="00A25BD7">
        <w:t>Department of General and Coordination Chemistry and Crystallography, Institute of Chemical Sciences, Faculty of Chemistry, Maria Curie-Sklodowska University in Lublin, Poland</w:t>
      </w:r>
      <w:r w:rsidR="00A25BD7">
        <w:t>;</w:t>
      </w:r>
      <w:r w:rsidR="00A25BD7" w:rsidRPr="00A25BD7">
        <w:t xml:space="preserve"> </w:t>
      </w:r>
      <w:r w:rsidR="00A25BD7" w:rsidRPr="00A25BD7">
        <w:rPr>
          <w:vertAlign w:val="superscript"/>
        </w:rPr>
        <w:t>2</w:t>
      </w:r>
      <w:r w:rsidR="00A25BD7">
        <w:t xml:space="preserve">Department of Organic Chemistry, Medical University of Lublin, Poland; </w:t>
      </w:r>
      <w:r w:rsidR="00A25BD7" w:rsidRPr="00A25BD7">
        <w:rPr>
          <w:vertAlign w:val="superscript"/>
        </w:rPr>
        <w:t>3</w:t>
      </w:r>
      <w:r w:rsidR="00A25BD7">
        <w:t xml:space="preserve">Department of Organic Chemistry and Technology, University of Technology in Cracow, Poland; </w:t>
      </w:r>
      <w:r w:rsidR="00A25BD7" w:rsidRPr="00A25BD7">
        <w:rPr>
          <w:vertAlign w:val="superscript"/>
        </w:rPr>
        <w:t>4</w:t>
      </w:r>
      <w:r w:rsidR="00A25BD7">
        <w:t xml:space="preserve">A-Sense sp. z </w:t>
      </w:r>
      <w:proofErr w:type="spellStart"/>
      <w:r w:rsidR="00A25BD7">
        <w:t>o.o</w:t>
      </w:r>
      <w:proofErr w:type="spellEnd"/>
      <w:r w:rsidR="00A25BD7">
        <w:t xml:space="preserve">, Poland; </w:t>
      </w:r>
      <w:r w:rsidR="00A25BD7" w:rsidRPr="00A25BD7">
        <w:rPr>
          <w:vertAlign w:val="superscript"/>
        </w:rPr>
        <w:t>5</w:t>
      </w:r>
      <w:r w:rsidR="00A25BD7">
        <w:t xml:space="preserve"> Chair and Department of Synthesis and Chemical Technology of Pharmaceutical Substances, Medical University of Lublin, Poland; </w:t>
      </w:r>
      <w:r w:rsidR="00A25BD7" w:rsidRPr="00A25BD7">
        <w:rPr>
          <w:vertAlign w:val="superscript"/>
        </w:rPr>
        <w:t>6</w:t>
      </w:r>
      <w:r w:rsidR="00A25BD7">
        <w:t>Faculty of Medicine, The John Paul II Catholic University of Lublin, Poland</w:t>
      </w:r>
    </w:p>
    <w:p w14:paraId="270E571B" w14:textId="03ED77B7" w:rsidR="00CC14C8" w:rsidRDefault="0064777A">
      <w:pPr>
        <w:pStyle w:val="Nagwek3"/>
        <w:rPr>
          <w:sz w:val="18"/>
          <w:szCs w:val="18"/>
        </w:rPr>
      </w:pPr>
      <w:r>
        <w:t xml:space="preserve">Email of communicating </w:t>
      </w:r>
      <w:r w:rsidR="00FB2F54">
        <w:t>b</w:t>
      </w:r>
      <w:r w:rsidR="00A25BD7">
        <w:t>arbara.miroslaw</w:t>
      </w:r>
      <w:r>
        <w:t>@</w:t>
      </w:r>
      <w:r w:rsidR="00A25BD7">
        <w:t>mail.umcs.pl</w:t>
      </w:r>
      <w:r>
        <w:rPr>
          <w:lang w:eastAsia="de-DE"/>
        </w:rPr>
        <w:br/>
      </w:r>
    </w:p>
    <w:p w14:paraId="058AB1E2" w14:textId="22D4C127" w:rsidR="00E26928" w:rsidRDefault="009316D4">
      <w:r>
        <w:t xml:space="preserve">Nicotine related industry is still under </w:t>
      </w:r>
      <w:r w:rsidR="00F02874">
        <w:t>development</w:t>
      </w:r>
      <w:r>
        <w:t xml:space="preserve"> and methods for efficient synthesis </w:t>
      </w:r>
      <w:r w:rsidR="00A308CA" w:rsidRPr="00A308CA">
        <w:t>of (</w:t>
      </w:r>
      <w:r w:rsidR="00A308CA" w:rsidRPr="00E26928">
        <w:rPr>
          <w:i/>
        </w:rPr>
        <w:t>S</w:t>
      </w:r>
      <w:r w:rsidR="00A308CA" w:rsidRPr="00A308CA">
        <w:t>)-nicotine</w:t>
      </w:r>
      <w:r>
        <w:t xml:space="preserve"> </w:t>
      </w:r>
      <w:r w:rsidR="00A308CA" w:rsidRPr="00A308CA">
        <w:t>enantiomer</w:t>
      </w:r>
      <w:r>
        <w:t xml:space="preserve"> are still wanted</w:t>
      </w:r>
      <w:r w:rsidR="002A20BF">
        <w:t xml:space="preserve"> [1]</w:t>
      </w:r>
      <w:r>
        <w:t>.</w:t>
      </w:r>
      <w:r w:rsidR="00A308CA" w:rsidRPr="00A308CA">
        <w:t xml:space="preserve"> </w:t>
      </w:r>
      <w:r>
        <w:t xml:space="preserve">To fulfil this need a </w:t>
      </w:r>
      <w:r w:rsidR="005B61DE">
        <w:t>crystallization</w:t>
      </w:r>
      <w:r>
        <w:t xml:space="preserve"> </w:t>
      </w:r>
      <w:r w:rsidR="00F02874">
        <w:t>process</w:t>
      </w:r>
      <w:r>
        <w:t xml:space="preserve"> as an </w:t>
      </w:r>
      <w:r w:rsidRPr="009316D4">
        <w:t>intermediate step</w:t>
      </w:r>
      <w:r>
        <w:t xml:space="preserve"> was proposed</w:t>
      </w:r>
      <w:r w:rsidR="002A20BF">
        <w:t xml:space="preserve"> [2]</w:t>
      </w:r>
      <w:r>
        <w:t>. The studies on the crystal forms obtained during th</w:t>
      </w:r>
      <w:r w:rsidR="00E26928">
        <w:t>e</w:t>
      </w:r>
      <w:r>
        <w:t>s</w:t>
      </w:r>
      <w:r w:rsidR="00E26928">
        <w:t>e</w:t>
      </w:r>
      <w:r>
        <w:t xml:space="preserve"> </w:t>
      </w:r>
      <w:r w:rsidR="00E26928">
        <w:t xml:space="preserve">experiments </w:t>
      </w:r>
      <w:r w:rsidR="002A20BF">
        <w:t xml:space="preserve">only mentioned previously </w:t>
      </w:r>
      <w:r>
        <w:t xml:space="preserve">are </w:t>
      </w:r>
      <w:r w:rsidR="002A20BF">
        <w:t xml:space="preserve">discussed </w:t>
      </w:r>
      <w:r>
        <w:t>here</w:t>
      </w:r>
      <w:r w:rsidR="002A20BF">
        <w:t xml:space="preserve"> in details</w:t>
      </w:r>
      <w:r>
        <w:t xml:space="preserve">. The </w:t>
      </w:r>
      <w:r w:rsidR="00A308CA" w:rsidRPr="00A308CA">
        <w:t xml:space="preserve">nornicotine </w:t>
      </w:r>
      <w:r>
        <w:t xml:space="preserve">was crystallized with </w:t>
      </w:r>
      <w:r w:rsidR="00A308CA" w:rsidRPr="00A308CA">
        <w:t>N-lauroyl-(</w:t>
      </w:r>
      <w:r w:rsidR="00A308CA" w:rsidRPr="00E26928">
        <w:rPr>
          <w:i/>
        </w:rPr>
        <w:t>S</w:t>
      </w:r>
      <w:r w:rsidR="00A308CA" w:rsidRPr="00A308CA">
        <w:t>)-alanine</w:t>
      </w:r>
      <w:r>
        <w:t xml:space="preserve"> to yield a few crystallographic forms. </w:t>
      </w:r>
      <w:r w:rsidR="00F02874">
        <w:t>T</w:t>
      </w:r>
      <w:r>
        <w:t>he results of crystallization experiments are shown</w:t>
      </w:r>
      <w:r w:rsidR="00F02874" w:rsidRPr="00F02874">
        <w:t xml:space="preserve"> </w:t>
      </w:r>
      <w:r w:rsidR="00F02874">
        <w:t xml:space="preserve">in Fig. 1. The number of hydrogen bonds and their architecture decided on the success of </w:t>
      </w:r>
      <w:r w:rsidR="00E26928">
        <w:t xml:space="preserve">efficient </w:t>
      </w:r>
      <w:r w:rsidR="00F02874">
        <w:t>enantioseparation process in certain conditions.</w:t>
      </w:r>
      <w:r w:rsidR="00E26928">
        <w:t xml:space="preserve"> This approach </w:t>
      </w:r>
      <w:r w:rsidR="00E26928" w:rsidRPr="00E26928">
        <w:t>proved to be more economical and efficient</w:t>
      </w:r>
      <w:r w:rsidR="00E26928">
        <w:t xml:space="preserve"> than previously used multistep synthesis methods of (</w:t>
      </w:r>
      <w:r w:rsidR="00E26928" w:rsidRPr="00E26928">
        <w:rPr>
          <w:i/>
        </w:rPr>
        <w:t>S</w:t>
      </w:r>
      <w:r w:rsidR="00E26928">
        <w:t xml:space="preserve">)-nicotine. Additional advantage of this method is the lack of </w:t>
      </w:r>
      <w:r w:rsidR="00E26928" w:rsidRPr="00E26928">
        <w:t>contamination with nitrosamines</w:t>
      </w:r>
      <w:r w:rsidR="00E26928">
        <w:t>. Detailed crystallographic analysis of crystal structures of these salts is presented along with Hirshfeld surface and energy framework</w:t>
      </w:r>
      <w:r w:rsidR="00E26928" w:rsidRPr="00E26928">
        <w:t xml:space="preserve"> </w:t>
      </w:r>
      <w:r w:rsidR="00E26928">
        <w:t>analysis.</w:t>
      </w:r>
    </w:p>
    <w:p w14:paraId="2509AA57" w14:textId="511EA003" w:rsidR="00822F4C" w:rsidRDefault="00F02874">
      <w:pPr>
        <w:jc w:val="center"/>
      </w:pPr>
      <w:r>
        <w:t>a)</w:t>
      </w:r>
      <w:r w:rsidR="00822F4C">
        <w:rPr>
          <w:noProof/>
          <w:lang w:val="pl-PL" w:eastAsia="pl-PL"/>
        </w:rPr>
        <w:drawing>
          <wp:inline distT="0" distB="0" distL="0" distR="0" wp14:anchorId="7212F859" wp14:editId="5CCE5761">
            <wp:extent cx="1677333" cy="61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531" t="24770" r="21118" b="17416"/>
                    <a:stretch/>
                  </pic:blipFill>
                  <pic:spPr bwMode="auto">
                    <a:xfrm>
                      <a:off x="0" y="0"/>
                      <a:ext cx="1677333" cy="6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61DE">
        <w:t xml:space="preserve">    </w:t>
      </w:r>
      <w:r>
        <w:t>b)</w:t>
      </w:r>
      <w:r w:rsidR="00822F4C">
        <w:rPr>
          <w:noProof/>
          <w:lang w:val="pl-PL" w:eastAsia="pl-PL"/>
        </w:rPr>
        <w:drawing>
          <wp:inline distT="0" distB="0" distL="0" distR="0" wp14:anchorId="1C2A7D5D" wp14:editId="25180E49">
            <wp:extent cx="792000" cy="1348876"/>
            <wp:effectExtent l="0" t="0" r="8255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0613" r="35532" b="-36"/>
                    <a:stretch/>
                  </pic:blipFill>
                  <pic:spPr bwMode="auto">
                    <a:xfrm>
                      <a:off x="0" y="0"/>
                      <a:ext cx="792000" cy="1348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61DE">
        <w:t xml:space="preserve">    </w:t>
      </w:r>
      <w:r>
        <w:t>c)</w:t>
      </w:r>
      <w:r w:rsidR="00822F4C">
        <w:rPr>
          <w:noProof/>
          <w:lang w:val="pl-PL" w:eastAsia="pl-PL"/>
        </w:rPr>
        <w:drawing>
          <wp:inline distT="0" distB="0" distL="0" distR="0" wp14:anchorId="0F8AA384" wp14:editId="54AFBB45">
            <wp:extent cx="1674731" cy="612000"/>
            <wp:effectExtent l="0" t="0" r="190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8938" t="26300" r="20747" b="28426"/>
                    <a:stretch/>
                  </pic:blipFill>
                  <pic:spPr bwMode="auto">
                    <a:xfrm>
                      <a:off x="0" y="0"/>
                      <a:ext cx="1674731" cy="6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4DA8CA" w14:textId="2254DF6A" w:rsidR="00CC14C8" w:rsidRDefault="004A6805">
      <w:pPr>
        <w:jc w:val="center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9A01AB" wp14:editId="22E69C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0085785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D5D76E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p w14:paraId="6ECCFABA" w14:textId="5FB4F258" w:rsidR="00822F4C" w:rsidRDefault="00F02874">
      <w:pPr>
        <w:jc w:val="center"/>
      </w:pPr>
      <w:r>
        <w:t>d)</w:t>
      </w:r>
      <w:r w:rsidR="00822F4C">
        <w:rPr>
          <w:noProof/>
          <w:lang w:val="pl-PL" w:eastAsia="pl-PL"/>
        </w:rPr>
        <w:drawing>
          <wp:inline distT="0" distB="0" distL="0" distR="0" wp14:anchorId="6258196B" wp14:editId="3ED484D7">
            <wp:extent cx="1844482" cy="1202690"/>
            <wp:effectExtent l="0" t="0" r="381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9455" t="19221" r="20176" b="-89"/>
                    <a:stretch/>
                  </pic:blipFill>
                  <pic:spPr bwMode="auto">
                    <a:xfrm>
                      <a:off x="0" y="0"/>
                      <a:ext cx="1861288" cy="1213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61DE">
        <w:t xml:space="preserve">   </w:t>
      </w:r>
      <w:r>
        <w:t>e)</w:t>
      </w:r>
      <w:r w:rsidR="00822F4C">
        <w:rPr>
          <w:noProof/>
          <w:lang w:val="pl-PL" w:eastAsia="pl-PL"/>
        </w:rPr>
        <w:drawing>
          <wp:inline distT="0" distB="0" distL="0" distR="0" wp14:anchorId="21EC50D3" wp14:editId="31E2A2A2">
            <wp:extent cx="1068003" cy="156654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9602" r="42710"/>
                    <a:stretch/>
                  </pic:blipFill>
                  <pic:spPr bwMode="auto">
                    <a:xfrm>
                      <a:off x="0" y="0"/>
                      <a:ext cx="1072564" cy="1573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61DE">
        <w:t xml:space="preserve">   </w:t>
      </w:r>
      <w:r>
        <w:t>f)</w:t>
      </w:r>
      <w:r w:rsidR="00822F4C">
        <w:rPr>
          <w:noProof/>
          <w:lang w:val="pl-PL" w:eastAsia="pl-PL"/>
        </w:rPr>
        <w:drawing>
          <wp:inline distT="0" distB="0" distL="0" distR="0" wp14:anchorId="2BE03792" wp14:editId="42D42A62">
            <wp:extent cx="1085850" cy="1036096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2091" r="35346"/>
                    <a:stretch/>
                  </pic:blipFill>
                  <pic:spPr bwMode="auto">
                    <a:xfrm>
                      <a:off x="0" y="0"/>
                      <a:ext cx="1092426" cy="104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47102C" w14:textId="77777777" w:rsidR="00C20F04" w:rsidRPr="009316D4" w:rsidRDefault="00C20F04">
      <w:pPr>
        <w:jc w:val="center"/>
        <w:rPr>
          <w:b/>
          <w:bCs/>
          <w:lang w:val="en-US"/>
        </w:rPr>
      </w:pPr>
    </w:p>
    <w:p w14:paraId="4931CEAF" w14:textId="17690917" w:rsidR="00822F4C" w:rsidRPr="009316D4" w:rsidRDefault="00822F4C">
      <w:pPr>
        <w:jc w:val="center"/>
        <w:rPr>
          <w:lang w:val="en-US"/>
        </w:rPr>
      </w:pPr>
    </w:p>
    <w:p w14:paraId="2C513995" w14:textId="5F5DC276" w:rsidR="00CC14C8" w:rsidRDefault="0064777A">
      <w:pPr>
        <w:pStyle w:val="Nagwek6"/>
      </w:pPr>
      <w:r>
        <w:rPr>
          <w:b/>
        </w:rPr>
        <w:t>Figure 1</w:t>
      </w:r>
      <w:r>
        <w:t>.</w:t>
      </w:r>
      <w:r w:rsidR="005B61DE">
        <w:t xml:space="preserve"> Crystal structures of obtained salts of </w:t>
      </w:r>
      <w:r w:rsidR="005B61DE" w:rsidRPr="005B61DE">
        <w:t xml:space="preserve">nornicotine </w:t>
      </w:r>
      <w:r w:rsidR="00F02874">
        <w:t xml:space="preserve">enantiomer </w:t>
      </w:r>
      <w:r w:rsidR="00F02874" w:rsidRPr="00F02874">
        <w:rPr>
          <w:i/>
        </w:rPr>
        <w:t>S</w:t>
      </w:r>
      <w:r w:rsidR="00F02874">
        <w:t xml:space="preserve"> (a, d), </w:t>
      </w:r>
      <w:r w:rsidR="00F02874" w:rsidRPr="00F02874">
        <w:rPr>
          <w:i/>
        </w:rPr>
        <w:t>D</w:t>
      </w:r>
      <w:r w:rsidR="00F02874">
        <w:t xml:space="preserve"> (b, e) and </w:t>
      </w:r>
      <w:proofErr w:type="spellStart"/>
      <w:r w:rsidR="00F02874">
        <w:t>racemate</w:t>
      </w:r>
      <w:proofErr w:type="spellEnd"/>
      <w:r w:rsidR="00F02874">
        <w:t xml:space="preserve"> (c, f) </w:t>
      </w:r>
      <w:r w:rsidR="005B61DE" w:rsidRPr="005B61DE">
        <w:t>with N-lauroyl-(S)-alanine</w:t>
      </w:r>
      <w:r>
        <w:t>.</w:t>
      </w:r>
    </w:p>
    <w:p w14:paraId="42E55F1D" w14:textId="13C60C3F" w:rsidR="002A20BF" w:rsidRPr="00EC253E" w:rsidRDefault="002A20BF">
      <w:pPr>
        <w:pStyle w:val="Nagwek4"/>
        <w:rPr>
          <w:lang w:val="pl-PL"/>
        </w:rPr>
      </w:pPr>
      <w:r>
        <w:rPr>
          <w:lang w:val="en-US"/>
        </w:rPr>
        <w:t xml:space="preserve">[1] </w:t>
      </w:r>
      <w:proofErr w:type="spellStart"/>
      <w:r w:rsidRPr="002A20BF">
        <w:rPr>
          <w:lang w:val="en-US"/>
        </w:rPr>
        <w:t>Agarthimoole</w:t>
      </w:r>
      <w:proofErr w:type="spellEnd"/>
      <w:r w:rsidRPr="002A20BF">
        <w:rPr>
          <w:lang w:val="en-US"/>
        </w:rPr>
        <w:t xml:space="preserve">, R.K.; </w:t>
      </w:r>
      <w:proofErr w:type="spellStart"/>
      <w:r w:rsidRPr="002A20BF">
        <w:rPr>
          <w:lang w:val="en-US"/>
        </w:rPr>
        <w:t>Gagan</w:t>
      </w:r>
      <w:proofErr w:type="spellEnd"/>
      <w:r w:rsidRPr="002A20BF">
        <w:rPr>
          <w:lang w:val="en-US"/>
        </w:rPr>
        <w:t xml:space="preserve">, S.; </w:t>
      </w:r>
      <w:proofErr w:type="spellStart"/>
      <w:r w:rsidRPr="002A20BF">
        <w:rPr>
          <w:lang w:val="en-US"/>
        </w:rPr>
        <w:t>Parida</w:t>
      </w:r>
      <w:proofErr w:type="spellEnd"/>
      <w:r w:rsidRPr="002A20BF">
        <w:rPr>
          <w:lang w:val="en-US"/>
        </w:rPr>
        <w:t xml:space="preserve">, S.; </w:t>
      </w:r>
      <w:proofErr w:type="spellStart"/>
      <w:r w:rsidRPr="002A20BF">
        <w:rPr>
          <w:lang w:val="en-US"/>
        </w:rPr>
        <w:t>Dimesh</w:t>
      </w:r>
      <w:proofErr w:type="spellEnd"/>
      <w:r w:rsidRPr="002A20BF">
        <w:rPr>
          <w:lang w:val="en-US"/>
        </w:rPr>
        <w:t xml:space="preserve">, T.K.; </w:t>
      </w:r>
      <w:proofErr w:type="spellStart"/>
      <w:r w:rsidRPr="002A20BF">
        <w:rPr>
          <w:lang w:val="en-US"/>
        </w:rPr>
        <w:t>Karatholuvhu</w:t>
      </w:r>
      <w:proofErr w:type="spellEnd"/>
      <w:r w:rsidRPr="002A20BF">
        <w:rPr>
          <w:lang w:val="en-US"/>
        </w:rPr>
        <w:t xml:space="preserve">, M.S.; </w:t>
      </w:r>
      <w:proofErr w:type="spellStart"/>
      <w:r w:rsidRPr="002A20BF">
        <w:rPr>
          <w:lang w:val="en-US"/>
        </w:rPr>
        <w:t>Palani</w:t>
      </w:r>
      <w:proofErr w:type="spellEnd"/>
      <w:r w:rsidRPr="002A20BF">
        <w:rPr>
          <w:lang w:val="en-US"/>
        </w:rPr>
        <w:t xml:space="preserve">, N.; Mukherjee, S. </w:t>
      </w:r>
      <w:r>
        <w:rPr>
          <w:lang w:val="en-US"/>
        </w:rPr>
        <w:t xml:space="preserve">(2022) </w:t>
      </w:r>
      <w:r w:rsidRPr="002A20BF">
        <w:rPr>
          <w:lang w:val="en-US"/>
        </w:rPr>
        <w:t>A novel approach for the synthesis of (</w:t>
      </w:r>
      <w:r w:rsidRPr="002A20BF">
        <w:rPr>
          <w:i/>
          <w:lang w:val="en-US"/>
        </w:rPr>
        <w:t>R</w:t>
      </w:r>
      <w:r w:rsidRPr="002A20BF">
        <w:rPr>
          <w:lang w:val="en-US"/>
        </w:rPr>
        <w:t>) and (</w:t>
      </w:r>
      <w:r w:rsidRPr="002A20BF">
        <w:rPr>
          <w:i/>
          <w:lang w:val="en-US"/>
        </w:rPr>
        <w:t>S</w:t>
      </w:r>
      <w:r w:rsidRPr="002A20BF">
        <w:rPr>
          <w:lang w:val="en-US"/>
        </w:rPr>
        <w:t xml:space="preserve">)-nicotine. </w:t>
      </w:r>
      <w:proofErr w:type="spellStart"/>
      <w:r w:rsidRPr="00EC253E">
        <w:rPr>
          <w:lang w:val="pl-PL"/>
        </w:rPr>
        <w:t>Int</w:t>
      </w:r>
      <w:proofErr w:type="spellEnd"/>
      <w:r w:rsidRPr="00EC253E">
        <w:rPr>
          <w:lang w:val="pl-PL"/>
        </w:rPr>
        <w:t xml:space="preserve">. J. Org. Chem. </w:t>
      </w:r>
      <w:r w:rsidRPr="00EC253E">
        <w:rPr>
          <w:b/>
          <w:i/>
          <w:lang w:val="pl-PL"/>
        </w:rPr>
        <w:t>12</w:t>
      </w:r>
      <w:r w:rsidRPr="00EC253E">
        <w:rPr>
          <w:lang w:val="pl-PL"/>
        </w:rPr>
        <w:t>, 189–199.</w:t>
      </w:r>
      <w:r w:rsidR="005B61DE" w:rsidRPr="00EC253E">
        <w:rPr>
          <w:lang w:val="pl-PL"/>
        </w:rPr>
        <w:t xml:space="preserve"> </w:t>
      </w:r>
    </w:p>
    <w:p w14:paraId="1E437CE1" w14:textId="6D4F1C27" w:rsidR="00D269D0" w:rsidRPr="005B61DE" w:rsidRDefault="0064777A">
      <w:pPr>
        <w:pStyle w:val="Nagwek4"/>
      </w:pPr>
      <w:r w:rsidRPr="00EC253E">
        <w:rPr>
          <w:lang w:val="pl-PL"/>
        </w:rPr>
        <w:t>[</w:t>
      </w:r>
      <w:r w:rsidR="002A20BF" w:rsidRPr="00EC253E">
        <w:rPr>
          <w:lang w:val="pl-PL"/>
        </w:rPr>
        <w:t>2</w:t>
      </w:r>
      <w:r w:rsidRPr="00EC253E">
        <w:rPr>
          <w:lang w:val="pl-PL"/>
        </w:rPr>
        <w:t xml:space="preserve">] </w:t>
      </w:r>
      <w:proofErr w:type="spellStart"/>
      <w:r w:rsidR="00D269D0" w:rsidRPr="00EC253E">
        <w:rPr>
          <w:lang w:val="pl-PL"/>
        </w:rPr>
        <w:t>Trotsko</w:t>
      </w:r>
      <w:proofErr w:type="spellEnd"/>
      <w:r w:rsidR="00D269D0" w:rsidRPr="00EC253E">
        <w:rPr>
          <w:lang w:val="pl-PL"/>
        </w:rPr>
        <w:t xml:space="preserve">, N., </w:t>
      </w:r>
      <w:proofErr w:type="spellStart"/>
      <w:r w:rsidR="00D269D0" w:rsidRPr="00EC253E">
        <w:rPr>
          <w:lang w:val="pl-PL"/>
        </w:rPr>
        <w:t>Miroslaw</w:t>
      </w:r>
      <w:proofErr w:type="spellEnd"/>
      <w:r w:rsidR="00D269D0" w:rsidRPr="00EC253E">
        <w:rPr>
          <w:lang w:val="pl-PL"/>
        </w:rPr>
        <w:t xml:space="preserve">, B., Jasiński, R., Długosz, M., </w:t>
      </w:r>
      <w:proofErr w:type="spellStart"/>
      <w:r w:rsidR="00D269D0" w:rsidRPr="00EC253E">
        <w:rPr>
          <w:lang w:val="pl-PL"/>
        </w:rPr>
        <w:t>Sadczuk</w:t>
      </w:r>
      <w:proofErr w:type="spellEnd"/>
      <w:r w:rsidR="00D269D0" w:rsidRPr="00EC253E">
        <w:rPr>
          <w:lang w:val="pl-PL"/>
        </w:rPr>
        <w:t xml:space="preserve">, M., &amp; </w:t>
      </w:r>
      <w:proofErr w:type="spellStart"/>
      <w:r w:rsidR="00D269D0" w:rsidRPr="00EC253E">
        <w:rPr>
          <w:lang w:val="pl-PL"/>
        </w:rPr>
        <w:t>Demchuk</w:t>
      </w:r>
      <w:proofErr w:type="spellEnd"/>
      <w:r w:rsidR="00D269D0" w:rsidRPr="00EC253E">
        <w:rPr>
          <w:lang w:val="pl-PL"/>
        </w:rPr>
        <w:t xml:space="preserve">, O. M. (2024). </w:t>
      </w:r>
      <w:r w:rsidR="00D269D0" w:rsidRPr="005B61DE">
        <w:t>Efficient Method of (</w:t>
      </w:r>
      <w:r w:rsidR="00D269D0" w:rsidRPr="005B61DE">
        <w:rPr>
          <w:i/>
          <w:iCs/>
        </w:rPr>
        <w:t>S</w:t>
      </w:r>
      <w:r w:rsidR="00D269D0" w:rsidRPr="005B61DE">
        <w:t xml:space="preserve">)-Nicotine Synthesis. </w:t>
      </w:r>
      <w:r w:rsidR="00D269D0" w:rsidRPr="005B61DE">
        <w:rPr>
          <w:i/>
          <w:iCs/>
        </w:rPr>
        <w:t>Molecules</w:t>
      </w:r>
      <w:r w:rsidR="00D269D0" w:rsidRPr="005B61DE">
        <w:t xml:space="preserve">, </w:t>
      </w:r>
      <w:r w:rsidR="00D269D0" w:rsidRPr="005B61DE">
        <w:rPr>
          <w:b/>
          <w:bCs w:val="0"/>
          <w:i/>
          <w:iCs/>
        </w:rPr>
        <w:t>29</w:t>
      </w:r>
      <w:r w:rsidR="00D269D0" w:rsidRPr="005B61DE">
        <w:t xml:space="preserve">(23), 5731. </w:t>
      </w:r>
    </w:p>
    <w:p w14:paraId="3E0A7E3F" w14:textId="2EB1305D" w:rsidR="00CC14C8" w:rsidRDefault="00D269D0" w:rsidP="00D269D0">
      <w:pPr>
        <w:pStyle w:val="Acknowledgement"/>
        <w:rPr>
          <w:lang w:eastAsia="cs-CZ"/>
        </w:rPr>
      </w:pPr>
      <w:r w:rsidRPr="005B61DE">
        <w:rPr>
          <w:lang w:eastAsia="cs-CZ"/>
        </w:rPr>
        <w:t>The A-Sense Sp. z o.o.</w:t>
      </w:r>
      <w:r w:rsidR="005B61DE">
        <w:rPr>
          <w:lang w:eastAsia="cs-CZ"/>
        </w:rPr>
        <w:t xml:space="preserve">is </w:t>
      </w:r>
      <w:r w:rsidRPr="005B61DE">
        <w:rPr>
          <w:lang w:eastAsia="cs-CZ"/>
        </w:rPr>
        <w:t xml:space="preserve"> realizing the project FENG.01.01-IP.02-002/23 of Polish Agency for Enterprise Development et. “Launch of </w:t>
      </w:r>
      <w:proofErr w:type="spellStart"/>
      <w:r w:rsidRPr="005B61DE">
        <w:rPr>
          <w:lang w:eastAsia="cs-CZ"/>
        </w:rPr>
        <w:t>Nicxperience</w:t>
      </w:r>
      <w:proofErr w:type="spellEnd"/>
      <w:r w:rsidRPr="005B61DE">
        <w:rPr>
          <w:lang w:eastAsia="cs-CZ"/>
        </w:rPr>
        <w:t xml:space="preserve"> - synthetic nicotine f</w:t>
      </w:r>
      <w:bookmarkStart w:id="0" w:name="_GoBack"/>
      <w:bookmarkEnd w:id="0"/>
      <w:r w:rsidRPr="005B61DE">
        <w:rPr>
          <w:lang w:eastAsia="cs-CZ"/>
        </w:rPr>
        <w:t>or pharmaceutical appl</w:t>
      </w:r>
      <w:r w:rsidR="00EC253E">
        <w:rPr>
          <w:lang w:eastAsia="cs-CZ"/>
        </w:rPr>
        <w:t>i</w:t>
      </w:r>
      <w:r w:rsidRPr="005B61DE">
        <w:rPr>
          <w:lang w:eastAsia="cs-CZ"/>
        </w:rPr>
        <w:t>cations”.</w:t>
      </w:r>
    </w:p>
    <w:sectPr w:rsidR="00CC14C8">
      <w:headerReference w:type="default" r:id="rId14"/>
      <w:footerReference w:type="default" r:id="rId15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F4720" w14:textId="77777777" w:rsidR="00E84A4F" w:rsidRDefault="00E84A4F">
      <w:pPr>
        <w:spacing w:after="0"/>
      </w:pPr>
      <w:r>
        <w:separator/>
      </w:r>
    </w:p>
  </w:endnote>
  <w:endnote w:type="continuationSeparator" w:id="0">
    <w:p w14:paraId="59BA4DC7" w14:textId="77777777" w:rsidR="00E84A4F" w:rsidRDefault="00E84A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B610" w14:textId="77777777" w:rsidR="00CC14C8" w:rsidRDefault="0064777A">
    <w:pPr>
      <w:pStyle w:val="Stopka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14:paraId="398C4FB7" w14:textId="77777777" w:rsidR="00CC14C8" w:rsidRDefault="00CC14C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7DBCB" w14:textId="77777777" w:rsidR="00E84A4F" w:rsidRDefault="00E84A4F">
      <w:pPr>
        <w:spacing w:after="0"/>
      </w:pPr>
      <w:r>
        <w:separator/>
      </w:r>
    </w:p>
  </w:footnote>
  <w:footnote w:type="continuationSeparator" w:id="0">
    <w:p w14:paraId="59467240" w14:textId="77777777" w:rsidR="00E84A4F" w:rsidRDefault="00E84A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4965E" w14:textId="77777777" w:rsidR="00CC14C8" w:rsidRDefault="0064777A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C8"/>
    <w:rsid w:val="000B4A75"/>
    <w:rsid w:val="002A20BF"/>
    <w:rsid w:val="003C39D2"/>
    <w:rsid w:val="004A6805"/>
    <w:rsid w:val="004F5815"/>
    <w:rsid w:val="005B61DE"/>
    <w:rsid w:val="0064777A"/>
    <w:rsid w:val="00822F4C"/>
    <w:rsid w:val="009316D4"/>
    <w:rsid w:val="00A25BD7"/>
    <w:rsid w:val="00A308CA"/>
    <w:rsid w:val="00AA0609"/>
    <w:rsid w:val="00AB2CF8"/>
    <w:rsid w:val="00C20F04"/>
    <w:rsid w:val="00CC14C8"/>
    <w:rsid w:val="00D269D0"/>
    <w:rsid w:val="00E26928"/>
    <w:rsid w:val="00E84A4F"/>
    <w:rsid w:val="00EC253E"/>
    <w:rsid w:val="00F02874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E7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135B-75D9-4EB2-972A-001465AA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creator>Uživatel systému Windows</dc:creator>
  <cp:lastModifiedBy>ZK</cp:lastModifiedBy>
  <cp:revision>3</cp:revision>
  <cp:lastPrinted>2025-06-12T11:08:00Z</cp:lastPrinted>
  <dcterms:created xsi:type="dcterms:W3CDTF">2025-06-12T11:09:00Z</dcterms:created>
  <dcterms:modified xsi:type="dcterms:W3CDTF">2025-06-12T11:57:00Z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