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EC" w:rsidRDefault="00235F29">
      <w:pPr>
        <w:pStyle w:val="Titre1"/>
      </w:pPr>
      <w:r w:rsidRPr="00235F29">
        <w:rPr>
          <w:lang w:val="en-US"/>
        </w:rPr>
        <w:t>Unusual planar anisotropy of the induced magnetism in KTb</w:t>
      </w:r>
      <w:r w:rsidRPr="00235F29">
        <w:rPr>
          <w:vertAlign w:val="subscript"/>
          <w:lang w:val="en-US"/>
        </w:rPr>
        <w:t>3</w:t>
      </w:r>
      <w:r w:rsidRPr="00235F29">
        <w:rPr>
          <w:lang w:val="en-US"/>
        </w:rPr>
        <w:t>F</w:t>
      </w:r>
      <w:r w:rsidRPr="00235F29">
        <w:rPr>
          <w:vertAlign w:val="subscript"/>
          <w:lang w:val="en-US"/>
        </w:rPr>
        <w:t>10</w:t>
      </w:r>
      <w:r w:rsidR="00681012">
        <w:t xml:space="preserve"> </w:t>
      </w:r>
    </w:p>
    <w:p w:rsidR="001D44EC" w:rsidRDefault="00235F29">
      <w:pPr>
        <w:pStyle w:val="Titre2"/>
      </w:pPr>
      <w:r w:rsidRPr="00235F29">
        <w:rPr>
          <w:lang w:val="en-US"/>
        </w:rPr>
        <w:t xml:space="preserve">O. </w:t>
      </w:r>
      <w:proofErr w:type="spellStart"/>
      <w:r w:rsidRPr="00235F29">
        <w:rPr>
          <w:lang w:val="en-US"/>
        </w:rPr>
        <w:t>Demortier</w:t>
      </w:r>
      <w:r w:rsidRPr="00235F29">
        <w:rPr>
          <w:vertAlign w:val="superscript"/>
          <w:lang w:val="en-US"/>
        </w:rPr>
        <w:t>a</w:t>
      </w:r>
      <w:proofErr w:type="spellEnd"/>
      <w:r w:rsidRPr="00235F29">
        <w:rPr>
          <w:lang w:val="en-US"/>
        </w:rPr>
        <w:t xml:space="preserve">, S. </w:t>
      </w:r>
      <w:proofErr w:type="spellStart"/>
      <w:r w:rsidRPr="00235F29">
        <w:rPr>
          <w:lang w:val="en-US"/>
        </w:rPr>
        <w:t>Petit</w:t>
      </w:r>
      <w:r w:rsidRPr="00235F29">
        <w:rPr>
          <w:vertAlign w:val="superscript"/>
          <w:lang w:val="en-US"/>
        </w:rPr>
        <w:t>a</w:t>
      </w:r>
      <w:proofErr w:type="spellEnd"/>
      <w:r w:rsidRPr="00235F29">
        <w:rPr>
          <w:lang w:val="en-US"/>
        </w:rPr>
        <w:t xml:space="preserve">, B. </w:t>
      </w:r>
      <w:proofErr w:type="spellStart"/>
      <w:r w:rsidRPr="00235F29">
        <w:rPr>
          <w:lang w:val="en-US"/>
        </w:rPr>
        <w:t>Fauqué</w:t>
      </w:r>
      <w:r w:rsidRPr="00235F29">
        <w:rPr>
          <w:vertAlign w:val="superscript"/>
          <w:lang w:val="en-US"/>
        </w:rPr>
        <w:t>b</w:t>
      </w:r>
      <w:proofErr w:type="spellEnd"/>
      <w:r w:rsidRPr="00235F29">
        <w:rPr>
          <w:lang w:val="en-US"/>
        </w:rPr>
        <w:t xml:space="preserve">, E. </w:t>
      </w:r>
      <w:proofErr w:type="spellStart"/>
      <w:r w:rsidRPr="00235F29">
        <w:rPr>
          <w:lang w:val="en-US"/>
        </w:rPr>
        <w:t>Ressouche</w:t>
      </w:r>
      <w:r w:rsidRPr="00235F29">
        <w:rPr>
          <w:vertAlign w:val="superscript"/>
          <w:lang w:val="en-US"/>
        </w:rPr>
        <w:t>c</w:t>
      </w:r>
      <w:proofErr w:type="spellEnd"/>
      <w:r w:rsidRPr="00235F29">
        <w:rPr>
          <w:lang w:val="en-US"/>
        </w:rPr>
        <w:t xml:space="preserve">, I. </w:t>
      </w:r>
      <w:proofErr w:type="spellStart"/>
      <w:r w:rsidRPr="00235F29">
        <w:rPr>
          <w:lang w:val="en-US"/>
        </w:rPr>
        <w:t>Kibalin</w:t>
      </w:r>
      <w:r w:rsidRPr="00235F29">
        <w:rPr>
          <w:vertAlign w:val="superscript"/>
          <w:lang w:val="en-US"/>
        </w:rPr>
        <w:t>d</w:t>
      </w:r>
      <w:proofErr w:type="spellEnd"/>
      <w:r w:rsidRPr="00235F29">
        <w:rPr>
          <w:lang w:val="en-US"/>
        </w:rPr>
        <w:t xml:space="preserve">, J. </w:t>
      </w:r>
      <w:proofErr w:type="spellStart"/>
      <w:r w:rsidRPr="00235F29">
        <w:rPr>
          <w:lang w:val="en-US"/>
        </w:rPr>
        <w:t>Robert</w:t>
      </w:r>
      <w:r w:rsidRPr="00235F29">
        <w:rPr>
          <w:vertAlign w:val="superscript"/>
          <w:lang w:val="en-US"/>
        </w:rPr>
        <w:t>e</w:t>
      </w:r>
      <w:proofErr w:type="spellEnd"/>
      <w:r w:rsidRPr="00235F29">
        <w:rPr>
          <w:lang w:val="en-US"/>
        </w:rPr>
        <w:t xml:space="preserve">, R. </w:t>
      </w:r>
      <w:proofErr w:type="spellStart"/>
      <w:r w:rsidRPr="00235F29">
        <w:rPr>
          <w:lang w:val="en-US"/>
        </w:rPr>
        <w:t>Sibille</w:t>
      </w:r>
      <w:r w:rsidRPr="00235F29">
        <w:rPr>
          <w:vertAlign w:val="superscript"/>
          <w:lang w:val="en-US"/>
        </w:rPr>
        <w:t>f</w:t>
      </w:r>
      <w:proofErr w:type="spellEnd"/>
      <w:r w:rsidRPr="00235F29">
        <w:rPr>
          <w:lang w:val="en-US"/>
        </w:rPr>
        <w:t xml:space="preserve">, B. </w:t>
      </w:r>
      <w:proofErr w:type="spellStart"/>
      <w:r w:rsidRPr="00235F29">
        <w:rPr>
          <w:lang w:val="en-US"/>
        </w:rPr>
        <w:t>Roessli</w:t>
      </w:r>
      <w:r w:rsidRPr="00235F29">
        <w:rPr>
          <w:vertAlign w:val="superscript"/>
          <w:lang w:val="en-US"/>
        </w:rPr>
        <w:t>f</w:t>
      </w:r>
      <w:proofErr w:type="spellEnd"/>
      <w:r w:rsidRPr="00235F29">
        <w:rPr>
          <w:lang w:val="en-US"/>
        </w:rPr>
        <w:t xml:space="preserve">, C. </w:t>
      </w:r>
      <w:proofErr w:type="spellStart"/>
      <w:r w:rsidRPr="00235F29">
        <w:rPr>
          <w:lang w:val="en-US"/>
        </w:rPr>
        <w:t>Colin</w:t>
      </w:r>
      <w:r w:rsidRPr="00235F29">
        <w:rPr>
          <w:vertAlign w:val="superscript"/>
          <w:lang w:val="en-US"/>
        </w:rPr>
        <w:t>e</w:t>
      </w:r>
      <w:proofErr w:type="spellEnd"/>
      <w:r w:rsidRPr="00235F29">
        <w:rPr>
          <w:lang w:val="en-US"/>
        </w:rPr>
        <w:t xml:space="preserve">, A. </w:t>
      </w:r>
      <w:proofErr w:type="spellStart"/>
      <w:r w:rsidRPr="00235F29">
        <w:rPr>
          <w:lang w:val="en-US"/>
        </w:rPr>
        <w:t>Ivanov</w:t>
      </w:r>
      <w:r w:rsidRPr="00235F29">
        <w:rPr>
          <w:vertAlign w:val="superscript"/>
          <w:lang w:val="en-US"/>
        </w:rPr>
        <w:t>d</w:t>
      </w:r>
      <w:proofErr w:type="spellEnd"/>
      <w:r w:rsidRPr="00235F29">
        <w:rPr>
          <w:lang w:val="en-US"/>
        </w:rPr>
        <w:t xml:space="preserve">, O. </w:t>
      </w:r>
      <w:proofErr w:type="spellStart"/>
      <w:r w:rsidRPr="00235F29">
        <w:rPr>
          <w:lang w:val="en-US"/>
        </w:rPr>
        <w:t>Fabelo</w:t>
      </w:r>
      <w:r w:rsidRPr="00235F29">
        <w:rPr>
          <w:vertAlign w:val="superscript"/>
          <w:lang w:val="en-US"/>
        </w:rPr>
        <w:t>d</w:t>
      </w:r>
      <w:proofErr w:type="spellEnd"/>
      <w:r w:rsidRPr="00235F29">
        <w:rPr>
          <w:lang w:val="en-US"/>
        </w:rPr>
        <w:t>,</w:t>
      </w:r>
      <w:r w:rsidRPr="00235F29">
        <w:rPr>
          <w:vertAlign w:val="superscript"/>
          <w:lang w:val="en-US"/>
        </w:rPr>
        <w:t xml:space="preserve"> </w:t>
      </w:r>
      <w:r w:rsidRPr="00235F29">
        <w:rPr>
          <w:lang w:val="en-US"/>
        </w:rPr>
        <w:t xml:space="preserve">T. </w:t>
      </w:r>
      <w:proofErr w:type="spellStart"/>
      <w:r w:rsidRPr="00235F29">
        <w:rPr>
          <w:lang w:val="en-US"/>
        </w:rPr>
        <w:t>Fennell</w:t>
      </w:r>
      <w:r w:rsidRPr="00235F29">
        <w:rPr>
          <w:vertAlign w:val="superscript"/>
          <w:lang w:val="en-US"/>
        </w:rPr>
        <w:t>f</w:t>
      </w:r>
      <w:proofErr w:type="spellEnd"/>
      <w:r w:rsidRPr="00235F29">
        <w:rPr>
          <w:lang w:val="en-US"/>
        </w:rPr>
        <w:t xml:space="preserve">, D. </w:t>
      </w:r>
      <w:proofErr w:type="spellStart"/>
      <w:r w:rsidRPr="00235F29">
        <w:rPr>
          <w:lang w:val="en-US"/>
        </w:rPr>
        <w:t>Hrabovsky</w:t>
      </w:r>
      <w:r w:rsidRPr="00235F29">
        <w:rPr>
          <w:vertAlign w:val="superscript"/>
          <w:lang w:val="en-US"/>
        </w:rPr>
        <w:t>g</w:t>
      </w:r>
      <w:proofErr w:type="spellEnd"/>
      <w:r w:rsidRPr="00235F29">
        <w:rPr>
          <w:lang w:val="en-US"/>
        </w:rPr>
        <w:t xml:space="preserve">, B. </w:t>
      </w:r>
      <w:proofErr w:type="spellStart"/>
      <w:r w:rsidRPr="00235F29">
        <w:rPr>
          <w:lang w:val="en-US"/>
        </w:rPr>
        <w:t>Leridon</w:t>
      </w:r>
      <w:r w:rsidRPr="00235F29">
        <w:rPr>
          <w:vertAlign w:val="superscript"/>
          <w:lang w:val="en-US"/>
        </w:rPr>
        <w:t>h</w:t>
      </w:r>
      <w:proofErr w:type="spellEnd"/>
      <w:r w:rsidRPr="00235F29">
        <w:rPr>
          <w:lang w:val="en-US"/>
        </w:rPr>
        <w:t xml:space="preserve">, F. Le </w:t>
      </w:r>
      <w:proofErr w:type="spellStart"/>
      <w:r w:rsidRPr="00235F29">
        <w:rPr>
          <w:lang w:val="en-US"/>
        </w:rPr>
        <w:t>Berre</w:t>
      </w:r>
      <w:r w:rsidRPr="00235F29">
        <w:rPr>
          <w:vertAlign w:val="superscript"/>
          <w:lang w:val="en-US"/>
        </w:rPr>
        <w:t>i</w:t>
      </w:r>
      <w:proofErr w:type="spellEnd"/>
      <w:r w:rsidRPr="00235F29">
        <w:rPr>
          <w:lang w:val="en-US"/>
        </w:rPr>
        <w:t xml:space="preserve">, J. </w:t>
      </w:r>
      <w:proofErr w:type="spellStart"/>
      <w:r w:rsidRPr="00235F29">
        <w:rPr>
          <w:lang w:val="en-US"/>
        </w:rPr>
        <w:t>Lhoste</w:t>
      </w:r>
      <w:r w:rsidRPr="00235F29">
        <w:rPr>
          <w:vertAlign w:val="superscript"/>
          <w:lang w:val="en-US"/>
        </w:rPr>
        <w:t>i</w:t>
      </w:r>
      <w:proofErr w:type="spellEnd"/>
      <w:r w:rsidRPr="00235F29">
        <w:rPr>
          <w:lang w:val="en-US"/>
        </w:rPr>
        <w:t xml:space="preserve">, and </w:t>
      </w:r>
      <w:r w:rsidRPr="00532D40">
        <w:rPr>
          <w:u w:val="single"/>
          <w:lang w:val="en-US"/>
        </w:rPr>
        <w:t xml:space="preserve">F. </w:t>
      </w:r>
      <w:proofErr w:type="spellStart"/>
      <w:r w:rsidRPr="00532D40">
        <w:rPr>
          <w:u w:val="single"/>
          <w:lang w:val="en-US"/>
        </w:rPr>
        <w:t>Damay</w:t>
      </w:r>
      <w:r w:rsidRPr="00235F29">
        <w:rPr>
          <w:vertAlign w:val="superscript"/>
          <w:lang w:val="en-US"/>
        </w:rPr>
        <w:t>a</w:t>
      </w:r>
      <w:proofErr w:type="spellEnd"/>
    </w:p>
    <w:p w:rsidR="003800B0" w:rsidRDefault="00235F29" w:rsidP="003800B0">
      <w:pPr>
        <w:pStyle w:val="Titre3"/>
        <w:rPr>
          <w:lang w:val="fr-FR"/>
        </w:rPr>
      </w:pPr>
      <w:proofErr w:type="spellStart"/>
      <w:r w:rsidRPr="00235F29">
        <w:rPr>
          <w:vertAlign w:val="superscript"/>
          <w:lang w:val="fr-FR"/>
        </w:rPr>
        <w:t>a</w:t>
      </w:r>
      <w:r w:rsidRPr="00235F29">
        <w:rPr>
          <w:lang w:val="fr-FR"/>
        </w:rPr>
        <w:t>Université</w:t>
      </w:r>
      <w:proofErr w:type="spellEnd"/>
      <w:r w:rsidRPr="00235F29">
        <w:rPr>
          <w:lang w:val="fr-FR"/>
        </w:rPr>
        <w:t xml:space="preserve"> Paris-Saclay, Laboratoire Léon Brillouin, CEA-CNRS UMR12, F-91191 Gif-sur-Yvette Cedex, </w:t>
      </w:r>
      <w:proofErr w:type="spellStart"/>
      <w:r w:rsidR="003800B0">
        <w:rPr>
          <w:lang w:val="fr-FR"/>
        </w:rPr>
        <w:t>France,</w:t>
      </w:r>
      <w:r w:rsidRPr="00235F29">
        <w:rPr>
          <w:vertAlign w:val="superscript"/>
          <w:lang w:val="fr-FR"/>
        </w:rPr>
        <w:t>b</w:t>
      </w:r>
      <w:r w:rsidRPr="00235F29">
        <w:rPr>
          <w:lang w:val="fr-FR"/>
        </w:rPr>
        <w:t>JEIP</w:t>
      </w:r>
      <w:proofErr w:type="spellEnd"/>
      <w:r w:rsidRPr="00235F29">
        <w:rPr>
          <w:lang w:val="fr-FR"/>
        </w:rPr>
        <w:t xml:space="preserve"> (USR 3573 CNRS), Collège de France, 75005 Paris, </w:t>
      </w:r>
      <w:r w:rsidR="003800B0">
        <w:rPr>
          <w:lang w:val="fr-FR"/>
        </w:rPr>
        <w:t xml:space="preserve">France, </w:t>
      </w:r>
      <w:proofErr w:type="spellStart"/>
      <w:r w:rsidRPr="003800B0">
        <w:rPr>
          <w:vertAlign w:val="superscript"/>
          <w:lang w:val="fr-FR"/>
        </w:rPr>
        <w:t>c</w:t>
      </w:r>
      <w:r w:rsidRPr="003800B0">
        <w:rPr>
          <w:lang w:val="fr-FR"/>
        </w:rPr>
        <w:t>IRIG</w:t>
      </w:r>
      <w:proofErr w:type="spellEnd"/>
      <w:r w:rsidRPr="003800B0">
        <w:rPr>
          <w:lang w:val="fr-FR"/>
        </w:rPr>
        <w:t>, CEA and Université Grenoble Alpes, CEA Grenoble, F-38054 Grenoble, France</w:t>
      </w:r>
      <w:r w:rsidR="003800B0" w:rsidRPr="003800B0">
        <w:rPr>
          <w:lang w:val="fr-FR"/>
        </w:rPr>
        <w:t xml:space="preserve">, </w:t>
      </w:r>
      <w:proofErr w:type="spellStart"/>
      <w:r w:rsidRPr="00235F29">
        <w:rPr>
          <w:vertAlign w:val="superscript"/>
          <w:lang w:val="fr-FR"/>
        </w:rPr>
        <w:t>d</w:t>
      </w:r>
      <w:r w:rsidRPr="00235F29">
        <w:rPr>
          <w:lang w:val="fr-FR"/>
        </w:rPr>
        <w:t>Institut</w:t>
      </w:r>
      <w:proofErr w:type="spellEnd"/>
      <w:r w:rsidRPr="00235F29">
        <w:rPr>
          <w:lang w:val="fr-FR"/>
        </w:rPr>
        <w:t xml:space="preserve"> Laue-Langevin, 71 avenue des Martyrs, F-38042 Grenoble Cedex 9, </w:t>
      </w:r>
      <w:r w:rsidR="003800B0">
        <w:rPr>
          <w:lang w:val="fr-FR"/>
        </w:rPr>
        <w:t xml:space="preserve">France, </w:t>
      </w:r>
      <w:proofErr w:type="spellStart"/>
      <w:r w:rsidRPr="00235F29">
        <w:rPr>
          <w:vertAlign w:val="superscript"/>
          <w:lang w:val="fr-FR"/>
        </w:rPr>
        <w:t>e</w:t>
      </w:r>
      <w:r w:rsidRPr="00235F29">
        <w:rPr>
          <w:lang w:val="fr-FR"/>
        </w:rPr>
        <w:t>Institut</w:t>
      </w:r>
      <w:proofErr w:type="spellEnd"/>
      <w:r w:rsidRPr="00235F29">
        <w:rPr>
          <w:lang w:val="fr-FR"/>
        </w:rPr>
        <w:t xml:space="preserve"> Néel, CNRS, Université Grenoble-Alpes, CNRS, F-38042 Grenoble, </w:t>
      </w:r>
      <w:r w:rsidR="003800B0">
        <w:rPr>
          <w:lang w:val="fr-FR"/>
        </w:rPr>
        <w:t xml:space="preserve">France, </w:t>
      </w:r>
      <w:proofErr w:type="spellStart"/>
      <w:r w:rsidRPr="003800B0">
        <w:rPr>
          <w:vertAlign w:val="superscript"/>
          <w:lang w:val="fr-FR"/>
        </w:rPr>
        <w:t>f</w:t>
      </w:r>
      <w:r w:rsidRPr="003800B0">
        <w:rPr>
          <w:lang w:val="fr-FR"/>
        </w:rPr>
        <w:t>Laboratory</w:t>
      </w:r>
      <w:proofErr w:type="spellEnd"/>
      <w:r w:rsidRPr="003800B0">
        <w:rPr>
          <w:lang w:val="fr-FR"/>
        </w:rPr>
        <w:t xml:space="preserve"> for Neutron </w:t>
      </w:r>
      <w:proofErr w:type="spellStart"/>
      <w:r w:rsidRPr="003800B0">
        <w:rPr>
          <w:lang w:val="fr-FR"/>
        </w:rPr>
        <w:t>Scattering</w:t>
      </w:r>
      <w:proofErr w:type="spellEnd"/>
      <w:r w:rsidRPr="003800B0">
        <w:rPr>
          <w:lang w:val="fr-FR"/>
        </w:rPr>
        <w:t xml:space="preserve"> and Imaging, Paul Scherrer Institut, CH-5232, </w:t>
      </w:r>
      <w:proofErr w:type="spellStart"/>
      <w:r w:rsidRPr="003800B0">
        <w:rPr>
          <w:lang w:val="fr-FR"/>
        </w:rPr>
        <w:t>Villigen</w:t>
      </w:r>
      <w:proofErr w:type="spellEnd"/>
      <w:r w:rsidRPr="003800B0">
        <w:rPr>
          <w:lang w:val="fr-FR"/>
        </w:rPr>
        <w:t xml:space="preserve">, </w:t>
      </w:r>
      <w:proofErr w:type="spellStart"/>
      <w:r w:rsidRPr="003800B0">
        <w:rPr>
          <w:lang w:val="fr-FR"/>
        </w:rPr>
        <w:t>Switzerland</w:t>
      </w:r>
      <w:proofErr w:type="spellEnd"/>
      <w:r w:rsidR="003800B0" w:rsidRPr="003800B0">
        <w:rPr>
          <w:lang w:val="fr-FR"/>
        </w:rPr>
        <w:t xml:space="preserve">, </w:t>
      </w:r>
      <w:proofErr w:type="spellStart"/>
      <w:r w:rsidRPr="00235F29">
        <w:rPr>
          <w:vertAlign w:val="superscript"/>
          <w:lang w:val="fr-FR"/>
        </w:rPr>
        <w:t>g</w:t>
      </w:r>
      <w:r w:rsidRPr="00235F29">
        <w:rPr>
          <w:lang w:val="fr-FR"/>
        </w:rPr>
        <w:t>Physics</w:t>
      </w:r>
      <w:proofErr w:type="spellEnd"/>
      <w:r w:rsidRPr="00235F29">
        <w:rPr>
          <w:lang w:val="fr-FR"/>
        </w:rPr>
        <w:t xml:space="preserve"> </w:t>
      </w:r>
      <w:proofErr w:type="spellStart"/>
      <w:r w:rsidRPr="00235F29">
        <w:rPr>
          <w:lang w:val="fr-FR"/>
        </w:rPr>
        <w:t>Department</w:t>
      </w:r>
      <w:proofErr w:type="spellEnd"/>
      <w:r w:rsidRPr="00235F29">
        <w:rPr>
          <w:lang w:val="fr-FR"/>
        </w:rPr>
        <w:t xml:space="preserve">, Sorbonne Université, 4, place Jussieu, 75005 Paris, </w:t>
      </w:r>
      <w:r w:rsidR="003800B0">
        <w:rPr>
          <w:lang w:val="fr-FR"/>
        </w:rPr>
        <w:t xml:space="preserve">France, </w:t>
      </w:r>
      <w:proofErr w:type="spellStart"/>
      <w:r w:rsidRPr="00235F29">
        <w:rPr>
          <w:vertAlign w:val="superscript"/>
          <w:lang w:val="fr-FR"/>
        </w:rPr>
        <w:t>h</w:t>
      </w:r>
      <w:r w:rsidRPr="00235F29">
        <w:rPr>
          <w:lang w:val="fr-FR"/>
        </w:rPr>
        <w:t>Laboratoire</w:t>
      </w:r>
      <w:proofErr w:type="spellEnd"/>
      <w:r w:rsidRPr="00235F29">
        <w:rPr>
          <w:lang w:val="fr-FR"/>
        </w:rPr>
        <w:t xml:space="preserve"> de Physique et d’Etude de Matériaux (CNRS), ESPCI Paris, Université PSL, 75005 Paris, </w:t>
      </w:r>
      <w:r w:rsidR="003800B0">
        <w:rPr>
          <w:lang w:val="fr-FR"/>
        </w:rPr>
        <w:t xml:space="preserve">France, </w:t>
      </w:r>
      <w:proofErr w:type="spellStart"/>
      <w:r w:rsidRPr="00235F29">
        <w:rPr>
          <w:vertAlign w:val="superscript"/>
          <w:lang w:val="fr-FR"/>
        </w:rPr>
        <w:t>i</w:t>
      </w:r>
      <w:r w:rsidRPr="00235F29">
        <w:rPr>
          <w:lang w:val="fr-FR"/>
        </w:rPr>
        <w:t>Institut</w:t>
      </w:r>
      <w:proofErr w:type="spellEnd"/>
      <w:r w:rsidRPr="00235F29">
        <w:rPr>
          <w:lang w:val="fr-FR"/>
        </w:rPr>
        <w:t xml:space="preserve"> des Molécules et Matériaux du Mans (IMMM), UMR CNRS 6283, Le Mans Université, Avenue Olivier Messiaen, F-72085 Le Mans Cedex 9, </w:t>
      </w:r>
      <w:r w:rsidR="003800B0">
        <w:rPr>
          <w:lang w:val="fr-FR"/>
        </w:rPr>
        <w:t>France.</w:t>
      </w:r>
    </w:p>
    <w:p w:rsidR="001D44EC" w:rsidRPr="003800B0" w:rsidRDefault="003800B0" w:rsidP="003800B0">
      <w:pPr>
        <w:pStyle w:val="Titre3"/>
        <w:rPr>
          <w:sz w:val="18"/>
          <w:szCs w:val="18"/>
          <w:lang w:val="en-US"/>
        </w:rPr>
      </w:pPr>
      <w:r w:rsidRPr="003800B0">
        <w:rPr>
          <w:sz w:val="18"/>
          <w:szCs w:val="18"/>
          <w:lang w:val="en-US"/>
        </w:rPr>
        <w:t>francoise.damay@cea.fr</w:t>
      </w:r>
    </w:p>
    <w:p w:rsidR="003800B0" w:rsidRPr="003800B0" w:rsidRDefault="003800B0" w:rsidP="003800B0">
      <w:pPr>
        <w:rPr>
          <w:lang w:val="en-US" w:eastAsia="cs-CZ"/>
        </w:rPr>
      </w:pPr>
    </w:p>
    <w:p w:rsidR="005644E3" w:rsidRDefault="00532D40" w:rsidP="003800B0">
      <w:pPr>
        <w:rPr>
          <w:lang w:val="en-US"/>
        </w:rPr>
      </w:pPr>
      <w:r>
        <w:rPr>
          <w:lang w:val="en-US"/>
        </w:rPr>
        <w:t>KTb</w:t>
      </w:r>
      <w:r w:rsidRPr="00532D40">
        <w:rPr>
          <w:vertAlign w:val="subscript"/>
          <w:lang w:val="en-US"/>
        </w:rPr>
        <w:t>3</w:t>
      </w:r>
      <w:r>
        <w:rPr>
          <w:lang w:val="en-US"/>
        </w:rPr>
        <w:t>F</w:t>
      </w:r>
      <w:r w:rsidRPr="00532D40">
        <w:rPr>
          <w:vertAlign w:val="subscript"/>
          <w:lang w:val="en-US"/>
        </w:rPr>
        <w:t>10</w:t>
      </w:r>
      <w:r>
        <w:rPr>
          <w:lang w:val="en-US"/>
        </w:rPr>
        <w:t xml:space="preserve"> is a magneto-optical component </w:t>
      </w:r>
      <w:r w:rsidR="00554DA2">
        <w:rPr>
          <w:lang w:val="en-US"/>
        </w:rPr>
        <w:t xml:space="preserve">[1] </w:t>
      </w:r>
      <w:r>
        <w:rPr>
          <w:lang w:val="en-US"/>
        </w:rPr>
        <w:t xml:space="preserve">used as a high power Faraday rotator </w:t>
      </w:r>
      <w:r w:rsidR="004C5C92">
        <w:rPr>
          <w:lang w:val="en-US"/>
        </w:rPr>
        <w:t>in</w:t>
      </w:r>
      <w:r>
        <w:rPr>
          <w:lang w:val="en-US"/>
        </w:rPr>
        <w:t xml:space="preserve"> optical insulator</w:t>
      </w:r>
      <w:r w:rsidR="004C5C92">
        <w:rPr>
          <w:lang w:val="en-US"/>
        </w:rPr>
        <w:t>s</w:t>
      </w:r>
      <w:r>
        <w:rPr>
          <w:lang w:val="en-US"/>
        </w:rPr>
        <w:t>, to prevent light feedback in laser cavities.</w:t>
      </w:r>
      <w:r w:rsidR="000A7C8E">
        <w:rPr>
          <w:lang w:val="en-US"/>
        </w:rPr>
        <w:t xml:space="preserve"> </w:t>
      </w:r>
      <w:r w:rsidR="005644E3">
        <w:rPr>
          <w:lang w:val="en-US"/>
        </w:rPr>
        <w:t xml:space="preserve"> </w:t>
      </w:r>
      <w:r w:rsidR="004C5C92">
        <w:rPr>
          <w:lang w:val="en-US"/>
        </w:rPr>
        <w:t xml:space="preserve">To understand better the origin of </w:t>
      </w:r>
      <w:r w:rsidR="005644E3">
        <w:rPr>
          <w:lang w:val="en-US"/>
        </w:rPr>
        <w:t>its magneto-optical properties</w:t>
      </w:r>
      <w:r w:rsidR="004C5C92">
        <w:rPr>
          <w:lang w:val="en-US"/>
        </w:rPr>
        <w:t>, t</w:t>
      </w:r>
      <w:r w:rsidR="003800B0" w:rsidRPr="003800B0">
        <w:rPr>
          <w:lang w:val="en-US"/>
        </w:rPr>
        <w:t>he magnetic ground state of KTb</w:t>
      </w:r>
      <w:r w:rsidR="003800B0" w:rsidRPr="003800B0">
        <w:rPr>
          <w:vertAlign w:val="subscript"/>
          <w:lang w:val="en-US"/>
        </w:rPr>
        <w:t>3</w:t>
      </w:r>
      <w:r w:rsidR="003800B0" w:rsidRPr="003800B0">
        <w:rPr>
          <w:lang w:val="en-US"/>
        </w:rPr>
        <w:t>F</w:t>
      </w:r>
      <w:r w:rsidR="003800B0" w:rsidRPr="003800B0">
        <w:rPr>
          <w:vertAlign w:val="subscript"/>
          <w:lang w:val="en-US"/>
        </w:rPr>
        <w:t>10</w:t>
      </w:r>
      <w:r w:rsidR="003800B0" w:rsidRPr="003800B0">
        <w:rPr>
          <w:lang w:val="en-US"/>
        </w:rPr>
        <w:t xml:space="preserve"> </w:t>
      </w:r>
      <w:proofErr w:type="gramStart"/>
      <w:r w:rsidR="003800B0" w:rsidRPr="003800B0">
        <w:rPr>
          <w:lang w:val="en-US"/>
        </w:rPr>
        <w:t>was investigated</w:t>
      </w:r>
      <w:proofErr w:type="gramEnd"/>
      <w:r w:rsidR="003800B0" w:rsidRPr="003800B0">
        <w:rPr>
          <w:lang w:val="en-US"/>
        </w:rPr>
        <w:t xml:space="preserve"> using a combination of magnetization measurements and neutron scattering experiments, carried out on </w:t>
      </w:r>
      <w:r w:rsidR="00F219A8">
        <w:rPr>
          <w:lang w:val="en-US"/>
        </w:rPr>
        <w:t xml:space="preserve">a </w:t>
      </w:r>
      <w:bookmarkStart w:id="0" w:name="_GoBack"/>
      <w:bookmarkEnd w:id="0"/>
      <w:proofErr w:type="spellStart"/>
      <w:r w:rsidR="003800B0" w:rsidRPr="003800B0">
        <w:rPr>
          <w:lang w:val="en-US"/>
        </w:rPr>
        <w:t>polycrystal</w:t>
      </w:r>
      <w:proofErr w:type="spellEnd"/>
      <w:r w:rsidR="003800B0" w:rsidRPr="003800B0">
        <w:rPr>
          <w:lang w:val="en-US"/>
        </w:rPr>
        <w:t xml:space="preserve"> </w:t>
      </w:r>
      <w:r w:rsidR="00F219A8">
        <w:rPr>
          <w:lang w:val="en-US"/>
        </w:rPr>
        <w:t>and</w:t>
      </w:r>
      <w:r w:rsidR="003800B0" w:rsidRPr="003800B0">
        <w:rPr>
          <w:lang w:val="en-US"/>
        </w:rPr>
        <w:t xml:space="preserve"> a single crystal sample</w:t>
      </w:r>
      <w:r w:rsidR="005644E3">
        <w:rPr>
          <w:lang w:val="en-US"/>
        </w:rPr>
        <w:t xml:space="preserve">, in </w:t>
      </w:r>
      <w:r w:rsidR="000A7C8E">
        <w:rPr>
          <w:lang w:val="en-US"/>
        </w:rPr>
        <w:t>zero and</w:t>
      </w:r>
      <w:r w:rsidR="005644E3">
        <w:rPr>
          <w:lang w:val="en-US"/>
        </w:rPr>
        <w:t xml:space="preserve"> applied magnetic field</w:t>
      </w:r>
      <w:r w:rsidR="005F4580">
        <w:rPr>
          <w:lang w:val="en-US"/>
        </w:rPr>
        <w:t>s</w:t>
      </w:r>
      <w:r w:rsidR="003800B0" w:rsidRPr="003800B0">
        <w:rPr>
          <w:lang w:val="en-US"/>
        </w:rPr>
        <w:t xml:space="preserve">. </w:t>
      </w:r>
      <w:r w:rsidR="000A7C8E">
        <w:rPr>
          <w:lang w:val="en-US"/>
        </w:rPr>
        <w:t xml:space="preserve"> In the </w:t>
      </w:r>
      <w:r w:rsidR="000A7C8E" w:rsidRPr="005644E3">
        <w:rPr>
          <w:i/>
          <w:lang w:val="en-US"/>
        </w:rPr>
        <w:t>Fm</w:t>
      </w:r>
      <w:r w:rsidR="000A7C8E">
        <w:rPr>
          <w:lang w:val="en-US"/>
        </w:rPr>
        <w:t>-3</w:t>
      </w:r>
      <w:r w:rsidR="000A7C8E" w:rsidRPr="005644E3">
        <w:rPr>
          <w:i/>
          <w:lang w:val="en-US"/>
        </w:rPr>
        <w:t>m</w:t>
      </w:r>
      <w:r w:rsidR="000A7C8E">
        <w:rPr>
          <w:lang w:val="en-US"/>
        </w:rPr>
        <w:t xml:space="preserve"> cubic crystal structure of KTb</w:t>
      </w:r>
      <w:r w:rsidR="000A7C8E" w:rsidRPr="005644E3">
        <w:rPr>
          <w:vertAlign w:val="subscript"/>
          <w:lang w:val="en-US"/>
        </w:rPr>
        <w:t>3</w:t>
      </w:r>
      <w:r w:rsidR="000A7C8E">
        <w:rPr>
          <w:lang w:val="en-US"/>
        </w:rPr>
        <w:t>F</w:t>
      </w:r>
      <w:r w:rsidR="000A7C8E" w:rsidRPr="005644E3">
        <w:rPr>
          <w:vertAlign w:val="subscript"/>
          <w:lang w:val="en-US"/>
        </w:rPr>
        <w:t>10</w:t>
      </w:r>
      <w:r w:rsidR="000A7C8E">
        <w:rPr>
          <w:lang w:val="en-US"/>
        </w:rPr>
        <w:t>, each Tb</w:t>
      </w:r>
      <w:r w:rsidR="000A7C8E" w:rsidRPr="000A7C8E">
        <w:rPr>
          <w:vertAlign w:val="superscript"/>
          <w:lang w:val="en-US"/>
        </w:rPr>
        <w:t>3+</w:t>
      </w:r>
      <w:r w:rsidR="000A7C8E">
        <w:rPr>
          <w:lang w:val="en-US"/>
        </w:rPr>
        <w:t xml:space="preserve"> </w:t>
      </w:r>
      <w:proofErr w:type="gramStart"/>
      <w:r w:rsidR="000A7C8E">
        <w:rPr>
          <w:lang w:val="en-US"/>
        </w:rPr>
        <w:t>is surrounded</w:t>
      </w:r>
      <w:proofErr w:type="gramEnd"/>
      <w:r w:rsidR="000A7C8E">
        <w:rPr>
          <w:lang w:val="en-US"/>
        </w:rPr>
        <w:t xml:space="preserve"> by a distorted fluorine cage, made of two twisted but parallel square faces (Figure 1).  T</w:t>
      </w:r>
      <w:r w:rsidR="000A7C8E" w:rsidRPr="005644E3">
        <w:rPr>
          <w:lang w:val="en-US"/>
        </w:rPr>
        <w:t>here are three distinct orientations of th</w:t>
      </w:r>
      <w:r w:rsidR="000A7C8E">
        <w:rPr>
          <w:lang w:val="en-US"/>
        </w:rPr>
        <w:t>is</w:t>
      </w:r>
      <w:r w:rsidR="000A7C8E" w:rsidRPr="005644E3">
        <w:rPr>
          <w:lang w:val="en-US"/>
        </w:rPr>
        <w:t xml:space="preserve"> fluorine cage </w:t>
      </w:r>
      <w:r w:rsidR="000A7C8E">
        <w:rPr>
          <w:lang w:val="en-US"/>
        </w:rPr>
        <w:t>in the structure</w:t>
      </w:r>
      <w:r w:rsidR="000A7C8E" w:rsidRPr="005644E3">
        <w:rPr>
          <w:lang w:val="en-US"/>
        </w:rPr>
        <w:t xml:space="preserve">, which correspond to the 4-fold axis of the </w:t>
      </w:r>
      <w:r w:rsidR="000A7C8E" w:rsidRPr="005644E3">
        <w:rPr>
          <w:i/>
          <w:lang w:val="en-US"/>
        </w:rPr>
        <w:t>Fm</w:t>
      </w:r>
      <w:r w:rsidR="000A7C8E" w:rsidRPr="005644E3">
        <w:rPr>
          <w:lang w:val="en-US"/>
        </w:rPr>
        <w:t>-3</w:t>
      </w:r>
      <w:r w:rsidR="000A7C8E" w:rsidRPr="005644E3">
        <w:rPr>
          <w:i/>
          <w:lang w:val="en-US"/>
        </w:rPr>
        <w:t>m</w:t>
      </w:r>
      <w:r w:rsidR="000A7C8E" w:rsidRPr="005644E3">
        <w:rPr>
          <w:lang w:val="en-US"/>
        </w:rPr>
        <w:t xml:space="preserve"> space group being parallel to </w:t>
      </w:r>
      <w:r w:rsidR="000A7C8E">
        <w:rPr>
          <w:lang w:val="en-US"/>
        </w:rPr>
        <w:t xml:space="preserve">either </w:t>
      </w:r>
      <w:proofErr w:type="gramStart"/>
      <w:r w:rsidR="000A7C8E" w:rsidRPr="005644E3">
        <w:rPr>
          <w:lang w:val="en-US"/>
        </w:rPr>
        <w:t xml:space="preserve">the </w:t>
      </w:r>
      <w:r w:rsidR="000A7C8E" w:rsidRPr="005644E3">
        <w:rPr>
          <w:b/>
          <w:lang w:val="en-US"/>
        </w:rPr>
        <w:t>a</w:t>
      </w:r>
      <w:proofErr w:type="gramEnd"/>
      <w:r w:rsidR="000A7C8E" w:rsidRPr="005644E3">
        <w:rPr>
          <w:lang w:val="en-US"/>
        </w:rPr>
        <w:t xml:space="preserve">, </w:t>
      </w:r>
      <w:r w:rsidR="000A7C8E" w:rsidRPr="005644E3">
        <w:rPr>
          <w:b/>
          <w:lang w:val="en-US"/>
        </w:rPr>
        <w:t>b</w:t>
      </w:r>
      <w:r w:rsidR="000A7C8E" w:rsidRPr="005644E3">
        <w:rPr>
          <w:lang w:val="en-US"/>
        </w:rPr>
        <w:t xml:space="preserve">, or </w:t>
      </w:r>
      <w:r w:rsidR="000A7C8E" w:rsidRPr="005644E3">
        <w:rPr>
          <w:b/>
          <w:lang w:val="en-US"/>
        </w:rPr>
        <w:t>c</w:t>
      </w:r>
      <w:r w:rsidR="000A7C8E" w:rsidRPr="005644E3">
        <w:rPr>
          <w:lang w:val="en-US"/>
        </w:rPr>
        <w:t xml:space="preserve"> axis of the cubic cell</w:t>
      </w:r>
      <w:r w:rsidR="000A7C8E">
        <w:rPr>
          <w:lang w:val="en-US"/>
        </w:rPr>
        <w:t xml:space="preserve"> [2]</w:t>
      </w:r>
      <w:r w:rsidR="000A7C8E" w:rsidRPr="005644E3">
        <w:rPr>
          <w:lang w:val="en-US"/>
        </w:rPr>
        <w:t>.</w:t>
      </w:r>
      <w:r w:rsidR="000A7C8E">
        <w:rPr>
          <w:lang w:val="en-US"/>
        </w:rPr>
        <w:t xml:space="preserve">  </w:t>
      </w:r>
      <w:r w:rsidR="003800B0" w:rsidRPr="003800B0">
        <w:rPr>
          <w:lang w:val="en-US"/>
        </w:rPr>
        <w:t>Results show that Tb</w:t>
      </w:r>
      <w:r w:rsidR="003800B0" w:rsidRPr="003800B0">
        <w:rPr>
          <w:vertAlign w:val="superscript"/>
          <w:lang w:val="en-US"/>
        </w:rPr>
        <w:t>3+</w:t>
      </w:r>
      <w:r w:rsidR="003800B0" w:rsidRPr="003800B0">
        <w:rPr>
          <w:lang w:val="en-US"/>
        </w:rPr>
        <w:t xml:space="preserve"> </w:t>
      </w:r>
      <w:r w:rsidR="000A7C8E">
        <w:rPr>
          <w:lang w:val="en-US"/>
        </w:rPr>
        <w:t xml:space="preserve">actually </w:t>
      </w:r>
      <w:r w:rsidR="003800B0" w:rsidRPr="003800B0">
        <w:rPr>
          <w:lang w:val="en-US"/>
        </w:rPr>
        <w:t xml:space="preserve">remains in a crystal electric field singlet state down to 30 </w:t>
      </w:r>
      <w:proofErr w:type="spellStart"/>
      <w:r w:rsidR="003800B0" w:rsidRPr="003800B0">
        <w:rPr>
          <w:lang w:val="en-US"/>
        </w:rPr>
        <w:t>mK.</w:t>
      </w:r>
      <w:proofErr w:type="spellEnd"/>
      <w:r w:rsidR="003800B0" w:rsidRPr="003800B0">
        <w:rPr>
          <w:lang w:val="en-US"/>
        </w:rPr>
        <w:t xml:space="preserve"> </w:t>
      </w:r>
      <w:r w:rsidR="000A7C8E">
        <w:rPr>
          <w:lang w:val="en-US"/>
        </w:rPr>
        <w:t xml:space="preserve"> A</w:t>
      </w:r>
      <w:r w:rsidR="000A7C8E" w:rsidRPr="003800B0">
        <w:rPr>
          <w:lang w:val="en-US"/>
        </w:rPr>
        <w:t>pplying a magnetic field</w:t>
      </w:r>
      <w:r w:rsidR="000A7C8E">
        <w:rPr>
          <w:lang w:val="en-US"/>
        </w:rPr>
        <w:t>, however, in</w:t>
      </w:r>
      <w:r w:rsidR="00AB2CD4">
        <w:rPr>
          <w:lang w:val="en-US"/>
        </w:rPr>
        <w:t>duces magnetism on the Tb sites.  Using a local susceptibility tensor approach, we show that t</w:t>
      </w:r>
      <w:r w:rsidR="000A7C8E">
        <w:rPr>
          <w:lang w:val="en-US"/>
        </w:rPr>
        <w:t>he Tb</w:t>
      </w:r>
      <w:r w:rsidR="000A7C8E" w:rsidRPr="00AB2CD4">
        <w:rPr>
          <w:vertAlign w:val="superscript"/>
          <w:lang w:val="en-US"/>
        </w:rPr>
        <w:t>3+</w:t>
      </w:r>
      <w:r w:rsidR="000A7C8E">
        <w:rPr>
          <w:lang w:val="en-US"/>
        </w:rPr>
        <w:t xml:space="preserve"> moment </w:t>
      </w:r>
      <w:r w:rsidR="00AB2CD4">
        <w:rPr>
          <w:lang w:val="en-US"/>
        </w:rPr>
        <w:t>is</w:t>
      </w:r>
      <w:r w:rsidR="000A7C8E">
        <w:rPr>
          <w:lang w:val="en-US"/>
        </w:rPr>
        <w:t xml:space="preserve"> highly anisotropic</w:t>
      </w:r>
      <w:r w:rsidR="00AB2CD4">
        <w:rPr>
          <w:lang w:val="en-US"/>
        </w:rPr>
        <w:t xml:space="preserve"> and remains </w:t>
      </w:r>
      <w:r w:rsidR="00AB2CD4" w:rsidRPr="003800B0">
        <w:rPr>
          <w:lang w:val="en-US"/>
        </w:rPr>
        <w:t xml:space="preserve">confined within </w:t>
      </w:r>
      <w:r w:rsidR="005F4580">
        <w:rPr>
          <w:lang w:val="en-US"/>
        </w:rPr>
        <w:t>a</w:t>
      </w:r>
      <w:r w:rsidR="00AB2CD4">
        <w:rPr>
          <w:lang w:val="en-US"/>
        </w:rPr>
        <w:t xml:space="preserve"> </w:t>
      </w:r>
      <w:r w:rsidR="00AB2CD4" w:rsidRPr="003800B0">
        <w:rPr>
          <w:lang w:val="en-US"/>
        </w:rPr>
        <w:t>local anisotropy plane</w:t>
      </w:r>
      <w:r w:rsidR="005F4580">
        <w:rPr>
          <w:lang w:val="en-US"/>
        </w:rPr>
        <w:t xml:space="preserve">, </w:t>
      </w:r>
      <w:r w:rsidR="00AB2CD4">
        <w:rPr>
          <w:lang w:val="en-US"/>
        </w:rPr>
        <w:t>parallel to the square face of the fluorine cage</w:t>
      </w:r>
      <w:r w:rsidR="005644E3">
        <w:rPr>
          <w:lang w:val="en-US"/>
        </w:rPr>
        <w:t>, a rather rare occurrence in Tb compounds</w:t>
      </w:r>
      <w:r w:rsidR="003800B0" w:rsidRPr="003800B0">
        <w:rPr>
          <w:lang w:val="en-US"/>
        </w:rPr>
        <w:t xml:space="preserve">. </w:t>
      </w:r>
      <w:r w:rsidR="005644E3">
        <w:rPr>
          <w:lang w:val="en-US"/>
        </w:rPr>
        <w:t xml:space="preserve"> The magnetic </w:t>
      </w:r>
      <w:r w:rsidR="00C052C4">
        <w:rPr>
          <w:lang w:val="en-US"/>
        </w:rPr>
        <w:t>space groups of the magnetic orderings observed</w:t>
      </w:r>
      <w:r w:rsidR="005644E3">
        <w:rPr>
          <w:lang w:val="en-US"/>
        </w:rPr>
        <w:t xml:space="preserve"> in a large magnetic field applied along the three main symmetry directions of the cubic structure were determined </w:t>
      </w:r>
      <w:r w:rsidR="00C052C4">
        <w:rPr>
          <w:lang w:val="en-US"/>
        </w:rPr>
        <w:t xml:space="preserve">and are in excellent agreement with the </w:t>
      </w:r>
      <w:r w:rsidR="00AB2CD4">
        <w:rPr>
          <w:lang w:val="en-US"/>
        </w:rPr>
        <w:t xml:space="preserve">combined </w:t>
      </w:r>
      <w:r w:rsidR="00C052C4">
        <w:rPr>
          <w:lang w:val="en-US"/>
        </w:rPr>
        <w:t xml:space="preserve">planar nature of the moment anisotropy and the existence of three orientations </w:t>
      </w:r>
      <w:r w:rsidR="005F4580">
        <w:rPr>
          <w:lang w:val="en-US"/>
        </w:rPr>
        <w:t>for</w:t>
      </w:r>
      <w:r w:rsidR="00C052C4">
        <w:rPr>
          <w:lang w:val="en-US"/>
        </w:rPr>
        <w:t xml:space="preserve"> the Tb cage</w:t>
      </w:r>
      <w:r w:rsidR="005F4580">
        <w:rPr>
          <w:lang w:val="en-US"/>
        </w:rPr>
        <w:t xml:space="preserve"> (Figure 1)</w:t>
      </w:r>
      <w:r w:rsidR="00C052C4">
        <w:rPr>
          <w:lang w:val="en-US"/>
        </w:rPr>
        <w:t>.  These results are a first step towards a microscopic understanding of the Faraday rotator property in this compound</w:t>
      </w:r>
      <w:r w:rsidR="00C03B6B">
        <w:rPr>
          <w:lang w:val="en-US"/>
        </w:rPr>
        <w:t xml:space="preserve"> [</w:t>
      </w:r>
      <w:r w:rsidR="00554DA2">
        <w:rPr>
          <w:lang w:val="en-US"/>
        </w:rPr>
        <w:t>3</w:t>
      </w:r>
      <w:r w:rsidR="00C03B6B">
        <w:rPr>
          <w:lang w:val="en-US"/>
        </w:rPr>
        <w:t>]</w:t>
      </w:r>
      <w:r w:rsidR="00C052C4">
        <w:rPr>
          <w:lang w:val="en-US"/>
        </w:rPr>
        <w:t xml:space="preserve">. </w:t>
      </w:r>
    </w:p>
    <w:p w:rsidR="001D44EC" w:rsidRDefault="00235F29">
      <w:pPr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41E0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800B0">
        <w:rPr>
          <w:noProof/>
          <w:sz w:val="24"/>
          <w:szCs w:val="24"/>
          <w:lang w:val="fr-FR" w:eastAsia="fr-FR"/>
        </w:rPr>
        <w:drawing>
          <wp:inline distT="0" distB="0" distL="0" distR="0" wp14:anchorId="7D458A97" wp14:editId="6FE2C41B">
            <wp:extent cx="1822308" cy="1917700"/>
            <wp:effectExtent l="0" t="0" r="698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amp111-b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r="21420" b="6979"/>
                    <a:stretch/>
                  </pic:blipFill>
                  <pic:spPr bwMode="auto">
                    <a:xfrm>
                      <a:off x="0" y="0"/>
                      <a:ext cx="1839667" cy="193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2A7E">
        <w:rPr>
          <w:noProof/>
          <w:sz w:val="24"/>
          <w:szCs w:val="24"/>
          <w:lang w:val="fr-FR" w:eastAsia="fr-FR"/>
        </w:rPr>
        <w:drawing>
          <wp:inline distT="0" distB="0" distL="0" distR="0" wp14:anchorId="2EDD114A" wp14:editId="71ED0E22">
            <wp:extent cx="1908368" cy="19431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amp001-bi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0" r="20103" b="5686"/>
                    <a:stretch/>
                  </pic:blipFill>
                  <pic:spPr bwMode="auto">
                    <a:xfrm>
                      <a:off x="0" y="0"/>
                      <a:ext cx="1925470" cy="1960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2A7E">
        <w:rPr>
          <w:noProof/>
          <w:sz w:val="24"/>
          <w:szCs w:val="24"/>
          <w:lang w:val="fr-FR" w:eastAsia="fr-FR"/>
        </w:rPr>
        <w:drawing>
          <wp:inline distT="0" distB="0" distL="0" distR="0" wp14:anchorId="57F49924" wp14:editId="5DA3CDEC">
            <wp:extent cx="1870710" cy="1972102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amp1m10-bis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3" r="21591" b="5019"/>
                    <a:stretch/>
                  </pic:blipFill>
                  <pic:spPr bwMode="auto">
                    <a:xfrm>
                      <a:off x="0" y="0"/>
                      <a:ext cx="1878910" cy="1980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44EC" w:rsidRPr="003800B0" w:rsidRDefault="003800B0">
      <w:pPr>
        <w:pStyle w:val="Titre6"/>
      </w:pPr>
      <w:r w:rsidRPr="003800B0">
        <w:rPr>
          <w:b/>
          <w:lang w:val="en-US"/>
        </w:rPr>
        <w:t>Figure</w:t>
      </w:r>
      <w:r>
        <w:rPr>
          <w:b/>
          <w:lang w:val="en-US"/>
        </w:rPr>
        <w:t>1</w:t>
      </w:r>
      <w:r w:rsidRPr="003800B0">
        <w:rPr>
          <w:b/>
          <w:lang w:val="en-US"/>
        </w:rPr>
        <w:t xml:space="preserve">. </w:t>
      </w:r>
      <w:r w:rsidRPr="003800B0">
        <w:rPr>
          <w:lang w:val="en-US"/>
        </w:rPr>
        <w:t xml:space="preserve"> Induced magnetic orders in KTb</w:t>
      </w:r>
      <w:r w:rsidR="00C03B6B" w:rsidRPr="00C03B6B">
        <w:rPr>
          <w:vertAlign w:val="subscript"/>
          <w:lang w:val="en-US"/>
        </w:rPr>
        <w:t>3</w:t>
      </w:r>
      <w:r w:rsidRPr="003800B0">
        <w:rPr>
          <w:lang w:val="en-US"/>
        </w:rPr>
        <w:t>F</w:t>
      </w:r>
      <w:r w:rsidR="00C03B6B" w:rsidRPr="00C03B6B">
        <w:rPr>
          <w:vertAlign w:val="subscript"/>
          <w:lang w:val="en-US"/>
        </w:rPr>
        <w:t>10</w:t>
      </w:r>
      <w:r w:rsidRPr="003800B0">
        <w:rPr>
          <w:lang w:val="en-US"/>
        </w:rPr>
        <w:t>, for a magnetic field applied along [111] (left), [001] (middle) and [1-10] (right panel). Illustrations are limited to only half of a Tb</w:t>
      </w:r>
      <w:r w:rsidRPr="003800B0">
        <w:rPr>
          <w:vertAlign w:val="subscript"/>
          <w:lang w:val="en-US"/>
        </w:rPr>
        <w:t>6</w:t>
      </w:r>
      <w:r w:rsidRPr="003800B0">
        <w:rPr>
          <w:lang w:val="en-US"/>
        </w:rPr>
        <w:t>F</w:t>
      </w:r>
      <w:r w:rsidRPr="003800B0">
        <w:rPr>
          <w:vertAlign w:val="subscript"/>
          <w:lang w:val="en-US"/>
        </w:rPr>
        <w:t>32</w:t>
      </w:r>
      <w:r w:rsidRPr="003800B0">
        <w:rPr>
          <w:lang w:val="en-US"/>
        </w:rPr>
        <w:t xml:space="preserve"> cluster for clarity reasons. Tb atoms </w:t>
      </w:r>
      <w:proofErr w:type="gramStart"/>
      <w:r w:rsidRPr="003800B0">
        <w:rPr>
          <w:lang w:val="en-US"/>
        </w:rPr>
        <w:t>are shown</w:t>
      </w:r>
      <w:proofErr w:type="gramEnd"/>
      <w:r w:rsidRPr="003800B0">
        <w:rPr>
          <w:lang w:val="en-US"/>
        </w:rPr>
        <w:t xml:space="preserve"> in yellow, F atoms in red. Anisotropy planes are shown as blue, green or pink ellipses, </w:t>
      </w:r>
      <w:r w:rsidR="00C03B6B">
        <w:rPr>
          <w:lang w:val="en-US"/>
        </w:rPr>
        <w:t xml:space="preserve">to distinguish planes perpendicular to </w:t>
      </w:r>
      <w:proofErr w:type="gramStart"/>
      <w:r w:rsidR="00C03B6B">
        <w:rPr>
          <w:lang w:val="en-US"/>
        </w:rPr>
        <w:t xml:space="preserve">the </w:t>
      </w:r>
      <w:r w:rsidR="00C03B6B" w:rsidRPr="00C03B6B">
        <w:rPr>
          <w:b/>
          <w:lang w:val="en-US"/>
        </w:rPr>
        <w:t>a</w:t>
      </w:r>
      <w:proofErr w:type="gramEnd"/>
      <w:r w:rsidR="00C03B6B">
        <w:rPr>
          <w:lang w:val="en-US"/>
        </w:rPr>
        <w:t xml:space="preserve">, </w:t>
      </w:r>
      <w:r w:rsidR="00C03B6B" w:rsidRPr="00C03B6B">
        <w:rPr>
          <w:b/>
          <w:lang w:val="en-US"/>
        </w:rPr>
        <w:t>b</w:t>
      </w:r>
      <w:r w:rsidR="00C03B6B">
        <w:rPr>
          <w:lang w:val="en-US"/>
        </w:rPr>
        <w:t xml:space="preserve"> or </w:t>
      </w:r>
      <w:r w:rsidR="00C03B6B" w:rsidRPr="00C03B6B">
        <w:rPr>
          <w:b/>
          <w:lang w:val="en-US"/>
        </w:rPr>
        <w:t>c</w:t>
      </w:r>
      <w:r w:rsidR="00C03B6B">
        <w:rPr>
          <w:lang w:val="en-US"/>
        </w:rPr>
        <w:t xml:space="preserve"> axis of the cubic cell, respectively</w:t>
      </w:r>
      <w:r w:rsidRPr="003800B0">
        <w:rPr>
          <w:lang w:val="en-US"/>
        </w:rPr>
        <w:t>.</w:t>
      </w:r>
    </w:p>
    <w:p w:rsidR="00C03B6B" w:rsidRPr="00F219A8" w:rsidRDefault="00C03B6B">
      <w:pPr>
        <w:rPr>
          <w:sz w:val="18"/>
          <w:lang w:val="fr-FR" w:eastAsia="cs-CZ"/>
        </w:rPr>
      </w:pPr>
      <w:r w:rsidRPr="00F219A8">
        <w:rPr>
          <w:sz w:val="18"/>
          <w:lang w:val="fr-FR" w:eastAsia="cs-CZ"/>
        </w:rPr>
        <w:t>[</w:t>
      </w:r>
      <w:r w:rsidR="00554DA2" w:rsidRPr="00F219A8">
        <w:rPr>
          <w:sz w:val="18"/>
          <w:lang w:val="fr-FR" w:eastAsia="cs-CZ"/>
        </w:rPr>
        <w:t>1</w:t>
      </w:r>
      <w:r w:rsidRPr="00F219A8">
        <w:rPr>
          <w:sz w:val="18"/>
          <w:lang w:val="fr-FR" w:eastAsia="cs-CZ"/>
        </w:rPr>
        <w:t xml:space="preserve">] </w:t>
      </w:r>
      <w:r w:rsidR="00554DA2" w:rsidRPr="00F219A8">
        <w:rPr>
          <w:sz w:val="18"/>
          <w:lang w:val="fr-FR" w:eastAsia="cs-CZ"/>
        </w:rPr>
        <w:t>Pues</w:t>
      </w:r>
      <w:r w:rsidR="005F4580" w:rsidRPr="00F219A8">
        <w:rPr>
          <w:sz w:val="18"/>
          <w:lang w:val="fr-FR" w:eastAsia="cs-CZ"/>
        </w:rPr>
        <w:t>, P.</w:t>
      </w:r>
      <w:r w:rsidR="00554DA2" w:rsidRPr="00F219A8">
        <w:rPr>
          <w:sz w:val="18"/>
          <w:lang w:val="fr-FR" w:eastAsia="cs-CZ"/>
        </w:rPr>
        <w:t>, et al. (2020)</w:t>
      </w:r>
      <w:r w:rsidR="005F4580" w:rsidRPr="00F219A8">
        <w:rPr>
          <w:sz w:val="18"/>
          <w:lang w:val="fr-FR" w:eastAsia="cs-CZ"/>
        </w:rPr>
        <w:t>.</w:t>
      </w:r>
      <w:r w:rsidR="00554DA2" w:rsidRPr="00F219A8">
        <w:rPr>
          <w:sz w:val="18"/>
          <w:lang w:val="fr-FR" w:eastAsia="cs-CZ"/>
        </w:rPr>
        <w:t xml:space="preserve"> </w:t>
      </w:r>
      <w:r w:rsidR="00554DA2" w:rsidRPr="00F219A8">
        <w:rPr>
          <w:i/>
          <w:sz w:val="18"/>
          <w:lang w:val="fr-FR" w:eastAsia="cs-CZ"/>
        </w:rPr>
        <w:t xml:space="preserve">J. </w:t>
      </w:r>
      <w:proofErr w:type="spellStart"/>
      <w:r w:rsidR="00554DA2" w:rsidRPr="00F219A8">
        <w:rPr>
          <w:i/>
          <w:sz w:val="18"/>
          <w:lang w:val="fr-FR" w:eastAsia="cs-CZ"/>
        </w:rPr>
        <w:t>Lumin</w:t>
      </w:r>
      <w:proofErr w:type="spellEnd"/>
      <w:r w:rsidR="00FC7EF4" w:rsidRPr="00F219A8">
        <w:rPr>
          <w:i/>
          <w:sz w:val="18"/>
          <w:lang w:val="fr-FR" w:eastAsia="cs-CZ"/>
        </w:rPr>
        <w:t>.</w:t>
      </w:r>
      <w:r w:rsidR="005F4580" w:rsidRPr="00F219A8">
        <w:rPr>
          <w:i/>
          <w:sz w:val="18"/>
          <w:lang w:val="fr-FR" w:eastAsia="cs-CZ"/>
        </w:rPr>
        <w:t xml:space="preserve"> </w:t>
      </w:r>
      <w:r w:rsidR="00554DA2" w:rsidRPr="00F219A8">
        <w:rPr>
          <w:b/>
          <w:sz w:val="18"/>
          <w:lang w:val="fr-FR" w:eastAsia="cs-CZ"/>
        </w:rPr>
        <w:t>227,</w:t>
      </w:r>
      <w:r w:rsidR="00554DA2" w:rsidRPr="00F219A8">
        <w:rPr>
          <w:sz w:val="18"/>
          <w:lang w:val="fr-FR" w:eastAsia="cs-CZ"/>
        </w:rPr>
        <w:t xml:space="preserve"> </w:t>
      </w:r>
      <w:r w:rsidR="005F4580" w:rsidRPr="00F219A8">
        <w:rPr>
          <w:sz w:val="18"/>
          <w:lang w:val="fr-FR" w:eastAsia="cs-CZ"/>
        </w:rPr>
        <w:t>117523</w:t>
      </w:r>
      <w:r w:rsidR="00554DA2" w:rsidRPr="00F219A8">
        <w:rPr>
          <w:sz w:val="18"/>
          <w:lang w:val="fr-FR" w:eastAsia="cs-CZ"/>
        </w:rPr>
        <w:t>.</w:t>
      </w:r>
    </w:p>
    <w:p w:rsidR="00554DA2" w:rsidRPr="00F219A8" w:rsidRDefault="00554DA2">
      <w:pPr>
        <w:rPr>
          <w:sz w:val="18"/>
          <w:lang w:val="fr-FR" w:eastAsia="cs-CZ"/>
        </w:rPr>
      </w:pPr>
      <w:r w:rsidRPr="00F219A8">
        <w:rPr>
          <w:sz w:val="18"/>
          <w:lang w:val="fr-FR" w:eastAsia="cs-CZ"/>
        </w:rPr>
        <w:t>[2]</w:t>
      </w:r>
      <w:r w:rsidR="005F4580" w:rsidRPr="00F219A8">
        <w:rPr>
          <w:sz w:val="18"/>
          <w:lang w:val="fr-FR" w:eastAsia="cs-CZ"/>
        </w:rPr>
        <w:t xml:space="preserve"> </w:t>
      </w:r>
      <w:proofErr w:type="spellStart"/>
      <w:r w:rsidR="005F4580" w:rsidRPr="00F219A8">
        <w:rPr>
          <w:sz w:val="18"/>
          <w:lang w:val="fr-FR" w:eastAsia="cs-CZ"/>
        </w:rPr>
        <w:t>Podberezskaya</w:t>
      </w:r>
      <w:proofErr w:type="spellEnd"/>
      <w:r w:rsidR="005F4580" w:rsidRPr="00F219A8">
        <w:rPr>
          <w:sz w:val="18"/>
          <w:lang w:val="fr-FR" w:eastAsia="cs-CZ"/>
        </w:rPr>
        <w:t xml:space="preserve">, N., et al. (1976). </w:t>
      </w:r>
      <w:r w:rsidR="005F4580" w:rsidRPr="00F219A8">
        <w:rPr>
          <w:i/>
          <w:sz w:val="18"/>
          <w:lang w:val="fr-FR" w:eastAsia="cs-CZ"/>
        </w:rPr>
        <w:t>J</w:t>
      </w:r>
      <w:r w:rsidR="00FC7EF4" w:rsidRPr="00F219A8">
        <w:rPr>
          <w:i/>
          <w:sz w:val="18"/>
          <w:lang w:val="fr-FR" w:eastAsia="cs-CZ"/>
        </w:rPr>
        <w:t>.</w:t>
      </w:r>
      <w:r w:rsidR="005F4580" w:rsidRPr="00F219A8">
        <w:rPr>
          <w:i/>
          <w:sz w:val="18"/>
          <w:lang w:val="fr-FR" w:eastAsia="cs-CZ"/>
        </w:rPr>
        <w:t xml:space="preserve"> </w:t>
      </w:r>
      <w:proofErr w:type="spellStart"/>
      <w:r w:rsidR="005F4580" w:rsidRPr="00F219A8">
        <w:rPr>
          <w:i/>
          <w:sz w:val="18"/>
          <w:lang w:val="fr-FR" w:eastAsia="cs-CZ"/>
        </w:rPr>
        <w:t>Struct</w:t>
      </w:r>
      <w:proofErr w:type="spellEnd"/>
      <w:r w:rsidR="00FC7EF4" w:rsidRPr="00F219A8">
        <w:rPr>
          <w:i/>
          <w:sz w:val="18"/>
          <w:lang w:val="fr-FR" w:eastAsia="cs-CZ"/>
        </w:rPr>
        <w:t>.</w:t>
      </w:r>
      <w:r w:rsidR="005F4580" w:rsidRPr="00F219A8">
        <w:rPr>
          <w:i/>
          <w:sz w:val="18"/>
          <w:lang w:val="fr-FR" w:eastAsia="cs-CZ"/>
        </w:rPr>
        <w:t xml:space="preserve"> </w:t>
      </w:r>
      <w:proofErr w:type="spellStart"/>
      <w:r w:rsidR="005F4580" w:rsidRPr="00F219A8">
        <w:rPr>
          <w:i/>
          <w:sz w:val="18"/>
          <w:lang w:val="fr-FR" w:eastAsia="cs-CZ"/>
        </w:rPr>
        <w:t>Chem</w:t>
      </w:r>
      <w:proofErr w:type="spellEnd"/>
      <w:r w:rsidR="00FC7EF4" w:rsidRPr="00F219A8">
        <w:rPr>
          <w:i/>
          <w:sz w:val="18"/>
          <w:lang w:val="fr-FR" w:eastAsia="cs-CZ"/>
        </w:rPr>
        <w:t>.</w:t>
      </w:r>
      <w:r w:rsidR="005F4580" w:rsidRPr="00F219A8">
        <w:rPr>
          <w:sz w:val="18"/>
          <w:lang w:val="fr-FR" w:eastAsia="cs-CZ"/>
        </w:rPr>
        <w:t xml:space="preserve"> </w:t>
      </w:r>
      <w:r w:rsidR="005F4580" w:rsidRPr="00F219A8">
        <w:rPr>
          <w:b/>
          <w:sz w:val="18"/>
          <w:lang w:val="fr-FR" w:eastAsia="cs-CZ"/>
        </w:rPr>
        <w:t>17</w:t>
      </w:r>
      <w:r w:rsidR="005F4580" w:rsidRPr="00F219A8">
        <w:rPr>
          <w:sz w:val="18"/>
          <w:lang w:val="fr-FR" w:eastAsia="cs-CZ"/>
        </w:rPr>
        <w:t>, 815.</w:t>
      </w:r>
    </w:p>
    <w:p w:rsidR="001D44EC" w:rsidRPr="005F4580" w:rsidRDefault="00C03B6B" w:rsidP="005F4580">
      <w:pPr>
        <w:rPr>
          <w:sz w:val="18"/>
          <w:lang w:eastAsia="cs-CZ"/>
        </w:rPr>
      </w:pPr>
      <w:r w:rsidRPr="00F219A8">
        <w:rPr>
          <w:sz w:val="18"/>
          <w:lang w:val="fr-FR" w:eastAsia="cs-CZ"/>
        </w:rPr>
        <w:t>[</w:t>
      </w:r>
      <w:r w:rsidR="00554DA2" w:rsidRPr="00F219A8">
        <w:rPr>
          <w:sz w:val="18"/>
          <w:lang w:val="fr-FR" w:eastAsia="cs-CZ"/>
        </w:rPr>
        <w:t>3</w:t>
      </w:r>
      <w:r w:rsidRPr="00F219A8">
        <w:rPr>
          <w:sz w:val="18"/>
          <w:lang w:val="fr-FR" w:eastAsia="cs-CZ"/>
        </w:rPr>
        <w:t>]</w:t>
      </w:r>
      <w:r w:rsidR="005F4580" w:rsidRPr="00F219A8">
        <w:rPr>
          <w:sz w:val="18"/>
          <w:lang w:val="fr-FR" w:eastAsia="cs-CZ"/>
        </w:rPr>
        <w:t xml:space="preserve"> </w:t>
      </w:r>
      <w:r w:rsidRPr="00F219A8">
        <w:rPr>
          <w:sz w:val="18"/>
          <w:lang w:val="fr-FR" w:eastAsia="cs-CZ"/>
        </w:rPr>
        <w:t>Demortier</w:t>
      </w:r>
      <w:r w:rsidR="005F4580" w:rsidRPr="00F219A8">
        <w:rPr>
          <w:sz w:val="18"/>
          <w:lang w:val="fr-FR" w:eastAsia="cs-CZ"/>
        </w:rPr>
        <w:t>, O.,</w:t>
      </w:r>
      <w:r w:rsidRPr="00F219A8">
        <w:rPr>
          <w:sz w:val="18"/>
          <w:lang w:val="fr-FR" w:eastAsia="cs-CZ"/>
        </w:rPr>
        <w:t xml:space="preserve"> et al.</w:t>
      </w:r>
      <w:r w:rsidR="005F4580" w:rsidRPr="00F219A8">
        <w:rPr>
          <w:sz w:val="18"/>
          <w:lang w:val="fr-FR" w:eastAsia="cs-CZ"/>
        </w:rPr>
        <w:t xml:space="preserve"> </w:t>
      </w:r>
      <w:r w:rsidR="005F4580">
        <w:rPr>
          <w:sz w:val="18"/>
          <w:lang w:eastAsia="cs-CZ"/>
        </w:rPr>
        <w:t>(2025). S</w:t>
      </w:r>
      <w:r w:rsidRPr="00554DA2">
        <w:rPr>
          <w:sz w:val="18"/>
          <w:lang w:eastAsia="cs-CZ"/>
        </w:rPr>
        <w:t>ubmitted to</w:t>
      </w:r>
      <w:r w:rsidRPr="00554DA2">
        <w:rPr>
          <w:i/>
          <w:sz w:val="18"/>
          <w:lang w:eastAsia="cs-CZ"/>
        </w:rPr>
        <w:t xml:space="preserve"> Phys</w:t>
      </w:r>
      <w:r w:rsidR="00554DA2">
        <w:rPr>
          <w:i/>
          <w:sz w:val="18"/>
          <w:lang w:eastAsia="cs-CZ"/>
        </w:rPr>
        <w:t>.</w:t>
      </w:r>
      <w:r w:rsidRPr="00554DA2">
        <w:rPr>
          <w:i/>
          <w:sz w:val="18"/>
          <w:lang w:eastAsia="cs-CZ"/>
        </w:rPr>
        <w:t xml:space="preserve"> Rev</w:t>
      </w:r>
      <w:r w:rsidR="00554DA2">
        <w:rPr>
          <w:i/>
          <w:sz w:val="18"/>
          <w:lang w:eastAsia="cs-CZ"/>
        </w:rPr>
        <w:t xml:space="preserve">. </w:t>
      </w:r>
      <w:r w:rsidRPr="00554DA2">
        <w:rPr>
          <w:i/>
          <w:sz w:val="18"/>
          <w:lang w:eastAsia="cs-CZ"/>
        </w:rPr>
        <w:t>Mater</w:t>
      </w:r>
      <w:r w:rsidR="005F4580">
        <w:rPr>
          <w:sz w:val="18"/>
          <w:lang w:eastAsia="cs-CZ"/>
        </w:rPr>
        <w:t>.</w:t>
      </w:r>
    </w:p>
    <w:sectPr w:rsidR="001D44EC" w:rsidRPr="005F4580">
      <w:headerReference w:type="default" r:id="rId10"/>
      <w:footerReference w:type="default" r:id="rId11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05" w:rsidRDefault="00B70D05">
      <w:pPr>
        <w:spacing w:after="0"/>
      </w:pPr>
      <w:r>
        <w:separator/>
      </w:r>
    </w:p>
  </w:endnote>
  <w:endnote w:type="continuationSeparator" w:id="0">
    <w:p w:rsidR="00B70D05" w:rsidRDefault="00B70D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EC" w:rsidRDefault="00681012">
    <w:pPr>
      <w:pStyle w:val="Pieddepage"/>
    </w:pPr>
    <w:proofErr w:type="spellStart"/>
    <w:r>
      <w:t>Acta</w:t>
    </w:r>
    <w:proofErr w:type="spellEnd"/>
    <w:r>
      <w:t xml:space="preserve"> </w:t>
    </w:r>
    <w:proofErr w:type="spellStart"/>
    <w:r>
      <w:t>Cryst</w:t>
    </w:r>
    <w:proofErr w:type="spellEnd"/>
    <w:r>
      <w:t>. (2025). A81, e1</w:t>
    </w:r>
  </w:p>
  <w:p w:rsidR="001D44EC" w:rsidRDefault="001D44E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05" w:rsidRDefault="00B70D05">
      <w:pPr>
        <w:spacing w:after="0"/>
      </w:pPr>
      <w:r>
        <w:separator/>
      </w:r>
    </w:p>
  </w:footnote>
  <w:footnote w:type="continuationSeparator" w:id="0">
    <w:p w:rsidR="00B70D05" w:rsidRDefault="00B70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4EC" w:rsidRDefault="00681012">
    <w:pPr>
      <w:tabs>
        <w:tab w:val="center" w:pos="4703"/>
        <w:tab w:val="right" w:pos="9406"/>
      </w:tabs>
    </w:pPr>
    <w:r>
      <w:rPr>
        <w:b/>
        <w:bCs/>
      </w:rPr>
      <w:t>MS</w:t>
    </w:r>
    <w:r w:rsidR="00235F29">
      <w:rPr>
        <w:b/>
        <w:bCs/>
      </w:rPr>
      <w:t xml:space="preserve"> 10</w:t>
    </w:r>
    <w:r>
      <w:tab/>
    </w:r>
    <w:proofErr w:type="spellStart"/>
    <w:r>
      <w:rPr>
        <w:b/>
        <w:bCs/>
      </w:rPr>
      <w:t>Microsymposium</w:t>
    </w:r>
    <w:proofErr w:type="spellEnd"/>
    <w:r w:rsidR="00235F29">
      <w:rPr>
        <w:b/>
        <w:bCs/>
      </w:rPr>
      <w:t xml:space="preserve"> </w:t>
    </w:r>
    <w:r w:rsidR="00235F29" w:rsidRPr="00235F29">
      <w:rPr>
        <w:b/>
        <w:bCs/>
      </w:rPr>
      <w:t>Structure-property relationships in materials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EC"/>
    <w:rsid w:val="000A7C8E"/>
    <w:rsid w:val="001D44EC"/>
    <w:rsid w:val="00235F29"/>
    <w:rsid w:val="00242A7E"/>
    <w:rsid w:val="003800B0"/>
    <w:rsid w:val="004C5C92"/>
    <w:rsid w:val="00532D40"/>
    <w:rsid w:val="00554DA2"/>
    <w:rsid w:val="005644E3"/>
    <w:rsid w:val="005F4580"/>
    <w:rsid w:val="00681012"/>
    <w:rsid w:val="00AB2CD4"/>
    <w:rsid w:val="00B70D05"/>
    <w:rsid w:val="00C03B6B"/>
    <w:rsid w:val="00C052C4"/>
    <w:rsid w:val="00F219A8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D276"/>
  <w15:docId w15:val="{2F2037B9-2A7E-42AC-A0FD-E3821F1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itre1">
    <w:name w:val="heading 1"/>
    <w:basedOn w:val="Normal"/>
    <w:next w:val="Titre2"/>
    <w:link w:val="Titre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itre2">
    <w:name w:val="heading 2"/>
    <w:basedOn w:val="Normal"/>
    <w:next w:val="Titre3"/>
    <w:link w:val="Titre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itre4">
    <w:name w:val="heading 4"/>
    <w:basedOn w:val="Normal"/>
    <w:next w:val="Normal"/>
    <w:link w:val="Titre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itre5">
    <w:name w:val="heading 5"/>
    <w:basedOn w:val="Titre6"/>
    <w:next w:val="Normal"/>
    <w:link w:val="Titre5Car"/>
    <w:uiPriority w:val="9"/>
    <w:unhideWhenUsed/>
    <w:qFormat/>
    <w:rsid w:val="00605A18"/>
    <w:pPr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itre2Car">
    <w:name w:val="Titre 2 Car"/>
    <w:link w:val="Titre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re3Car">
    <w:name w:val="Titre 3 Car"/>
    <w:link w:val="Titre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itre4Car">
    <w:name w:val="Titre 4 Car"/>
    <w:link w:val="Titre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seHTMLCar">
    <w:name w:val="Adresse HTML Car"/>
    <w:link w:val="Adresse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itre5Car">
    <w:name w:val="Titre 5 Car"/>
    <w:link w:val="Titre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itre6Car">
    <w:name w:val="Titre 6 Car"/>
    <w:link w:val="Titre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-tteCar">
    <w:name w:val="En-tête Car"/>
    <w:link w:val="En-tte"/>
    <w:uiPriority w:val="99"/>
    <w:qFormat/>
    <w:rsid w:val="00D13351"/>
    <w:rPr>
      <w:lang w:val="en-GB" w:eastAsia="de-DE"/>
    </w:rPr>
  </w:style>
  <w:style w:type="character" w:customStyle="1" w:styleId="PieddepageCar">
    <w:name w:val="Pied de page Car"/>
    <w:link w:val="Pieddepage"/>
    <w:uiPriority w:val="99"/>
    <w:qFormat/>
    <w:rsid w:val="00D13351"/>
    <w:rPr>
      <w:lang w:val="en-GB" w:eastAsia="de-DE"/>
    </w:rPr>
  </w:style>
  <w:style w:type="character" w:customStyle="1" w:styleId="TextedebullesCar">
    <w:name w:val="Texte de bulles Car"/>
    <w:link w:val="Textedebulles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235F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9298-C1E3-4AB7-8A4B-D354680A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DAMAY-ROWE Francoise</cp:lastModifiedBy>
  <cp:revision>9</cp:revision>
  <dcterms:created xsi:type="dcterms:W3CDTF">2025-03-25T11:33:00Z</dcterms:created>
  <dcterms:modified xsi:type="dcterms:W3CDTF">2025-04-14T15:37:00Z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