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127D" w:rsidRPr="0085127D" w:rsidRDefault="0085127D" w:rsidP="0085127D">
      <w:pPr>
        <w:pStyle w:val="Titre2"/>
        <w:rPr>
          <w:kern w:val="2"/>
          <w:sz w:val="24"/>
          <w:szCs w:val="32"/>
        </w:rPr>
      </w:pPr>
      <w:proofErr w:type="spellStart"/>
      <w:r w:rsidRPr="0085127D">
        <w:rPr>
          <w:kern w:val="2"/>
          <w:sz w:val="24"/>
          <w:szCs w:val="32"/>
        </w:rPr>
        <w:t>Microdialysis</w:t>
      </w:r>
      <w:proofErr w:type="spellEnd"/>
      <w:r w:rsidRPr="0085127D">
        <w:rPr>
          <w:kern w:val="2"/>
          <w:sz w:val="24"/>
          <w:szCs w:val="32"/>
        </w:rPr>
        <w:t xml:space="preserve"> device to set up kinetic crystallography experiments</w:t>
      </w:r>
    </w:p>
    <w:p w:rsidR="00DB7923" w:rsidRDefault="0085127D" w:rsidP="0085127D">
      <w:pPr>
        <w:pStyle w:val="Titre2"/>
      </w:pPr>
      <w:r w:rsidRPr="0085127D">
        <w:rPr>
          <w:iCs w:val="0"/>
          <w:u w:val="single"/>
        </w:rPr>
        <w:t>A.</w:t>
      </w:r>
      <w:r w:rsidRPr="0085127D">
        <w:rPr>
          <w:u w:val="single"/>
        </w:rPr>
        <w:t xml:space="preserve"> Bonnardel</w:t>
      </w:r>
      <w:r>
        <w:rPr>
          <w:u w:val="single"/>
          <w:vertAlign w:val="superscript"/>
        </w:rPr>
        <w:t>1</w:t>
      </w:r>
      <w:r w:rsidR="00000000">
        <w:t xml:space="preserve">, </w:t>
      </w:r>
      <w:r>
        <w:t>P. Jacquet</w:t>
      </w:r>
      <w:r>
        <w:rPr>
          <w:vertAlign w:val="superscript"/>
        </w:rPr>
        <w:t>2</w:t>
      </w:r>
      <w:r w:rsidR="00000000">
        <w:t xml:space="preserve">, </w:t>
      </w:r>
      <w:r>
        <w:t>B. Franzetti</w:t>
      </w:r>
      <w:r>
        <w:rPr>
          <w:vertAlign w:val="superscript"/>
        </w:rPr>
        <w:t>1</w:t>
      </w:r>
      <w:r>
        <w:t>, A. Royant</w:t>
      </w:r>
      <w:r>
        <w:rPr>
          <w:vertAlign w:val="superscript"/>
        </w:rPr>
        <w:t>2</w:t>
      </w:r>
      <w:r>
        <w:t>, J. Dupuy</w:t>
      </w:r>
      <w:r>
        <w:rPr>
          <w:vertAlign w:val="superscript"/>
        </w:rPr>
        <w:t>2</w:t>
      </w:r>
      <w:r>
        <w:t>, E. Girard</w:t>
      </w:r>
      <w:r>
        <w:rPr>
          <w:vertAlign w:val="superscript"/>
        </w:rPr>
        <w:t>1*</w:t>
      </w:r>
    </w:p>
    <w:p w:rsidR="00DB7923" w:rsidRDefault="00000000">
      <w:pPr>
        <w:pStyle w:val="Titre3"/>
      </w:pPr>
      <w:r>
        <w:rPr>
          <w:vertAlign w:val="superscript"/>
        </w:rPr>
        <w:t>1</w:t>
      </w:r>
      <w:r w:rsidR="0085127D">
        <w:t xml:space="preserve">Institut de </w:t>
      </w:r>
      <w:proofErr w:type="spellStart"/>
      <w:r w:rsidR="0085127D">
        <w:t>Biologie</w:t>
      </w:r>
      <w:proofErr w:type="spellEnd"/>
      <w:r w:rsidR="0085127D">
        <w:t xml:space="preserve"> </w:t>
      </w:r>
      <w:proofErr w:type="spellStart"/>
      <w:r w:rsidR="0085127D">
        <w:t>structurale</w:t>
      </w:r>
      <w:proofErr w:type="spellEnd"/>
      <w:r>
        <w:t>,</w:t>
      </w:r>
      <w:r w:rsidR="0085127D">
        <w:t xml:space="preserve"> 71 avenue des martyrs, Grenoble, France (CNRS-UGA-CEA)</w:t>
      </w:r>
      <w:r>
        <w:t xml:space="preserve"> </w:t>
      </w:r>
      <w:r>
        <w:rPr>
          <w:vertAlign w:val="superscript"/>
        </w:rPr>
        <w:t>2</w:t>
      </w:r>
      <w:r w:rsidR="0085127D">
        <w:t xml:space="preserve">Institut de </w:t>
      </w:r>
      <w:proofErr w:type="spellStart"/>
      <w:r w:rsidR="0085127D">
        <w:t>Biologie</w:t>
      </w:r>
      <w:proofErr w:type="spellEnd"/>
      <w:r w:rsidR="0085127D">
        <w:t xml:space="preserve"> </w:t>
      </w:r>
      <w:proofErr w:type="spellStart"/>
      <w:r w:rsidR="0085127D">
        <w:t>Structurale</w:t>
      </w:r>
      <w:proofErr w:type="spellEnd"/>
      <w:r w:rsidR="0085127D">
        <w:t>/European Synchrotron Radiation Facility, 71 avenue des martyrs, Grenoble, France (CNRS-UGA-CEA)</w:t>
      </w:r>
    </w:p>
    <w:p w:rsidR="00DB7923" w:rsidRDefault="0085127D">
      <w:pPr>
        <w:pStyle w:val="Titre3"/>
        <w:rPr>
          <w:sz w:val="18"/>
          <w:szCs w:val="18"/>
        </w:rPr>
      </w:pPr>
      <w:hyperlink r:id="rId8" w:history="1">
        <w:r w:rsidRPr="0019675D">
          <w:rPr>
            <w:rStyle w:val="Lienhypertexte"/>
          </w:rPr>
          <w:t>Anna.bonnardel@ibs.fr</w:t>
        </w:r>
      </w:hyperlink>
      <w:r>
        <w:t xml:space="preserve">, </w:t>
      </w:r>
      <w:hyperlink r:id="rId9" w:history="1">
        <w:r w:rsidRPr="0019675D">
          <w:rPr>
            <w:rStyle w:val="Lienhypertexte"/>
          </w:rPr>
          <w:t>eric.girard@ibs.fr</w:t>
        </w:r>
      </w:hyperlink>
      <w:r>
        <w:t xml:space="preserve"> </w:t>
      </w:r>
      <w:r w:rsidR="00000000">
        <w:t xml:space="preserve"> </w:t>
      </w:r>
      <w:r w:rsidR="00000000">
        <w:rPr>
          <w:lang w:eastAsia="de-DE"/>
        </w:rPr>
        <w:br/>
      </w:r>
    </w:p>
    <w:p w:rsidR="0085127D" w:rsidRPr="0085127D" w:rsidRDefault="0085127D" w:rsidP="0085127D">
      <w:pPr>
        <w:pStyle w:val="NormalWeb"/>
        <w:ind w:firstLine="708"/>
        <w:jc w:val="both"/>
        <w:rPr>
          <w:rFonts w:ascii="Calibri" w:hAnsi="Calibri" w:cs="Calibri"/>
          <w:lang w:val="en-GB"/>
        </w:rPr>
      </w:pPr>
      <w:r w:rsidRPr="0085127D">
        <w:rPr>
          <w:rFonts w:ascii="Calibri" w:hAnsi="Calibri" w:cs="Calibri"/>
          <w:lang w:val="en-GB"/>
        </w:rPr>
        <w:t>The application of time-resolved crystallography to enzyme catalytic processes raises a number of issues in the preparation of experiments [1, 2, 3, 4</w:t>
      </w:r>
      <w:r w:rsidRPr="0085127D">
        <w:rPr>
          <w:rFonts w:ascii="Calibri" w:hAnsi="Calibri" w:cs="Calibri"/>
          <w:lang w:val="en-GB"/>
        </w:rPr>
        <w:t>]</w:t>
      </w:r>
      <w:r>
        <w:rPr>
          <w:rFonts w:ascii="Calibri" w:hAnsi="Calibri" w:cs="Calibri"/>
          <w:lang w:val="en-GB"/>
        </w:rPr>
        <w:t>.</w:t>
      </w:r>
      <w:r w:rsidRPr="0085127D">
        <w:rPr>
          <w:rFonts w:ascii="Calibri" w:hAnsi="Calibri" w:cs="Calibri"/>
          <w:lang w:val="en-GB"/>
        </w:rPr>
        <w:t xml:space="preserve"> In</w:t>
      </w:r>
      <w:r w:rsidRPr="0085127D">
        <w:rPr>
          <w:rFonts w:ascii="Calibri" w:hAnsi="Calibri" w:cs="Calibri"/>
          <w:lang w:val="en-GB"/>
        </w:rPr>
        <w:t xml:space="preserve"> addition to </w:t>
      </w:r>
      <w:proofErr w:type="spellStart"/>
      <w:r w:rsidRPr="0085127D">
        <w:rPr>
          <w:rFonts w:ascii="Calibri" w:hAnsi="Calibri" w:cs="Calibri"/>
          <w:lang w:val="en-GB"/>
        </w:rPr>
        <w:t>crystallogenesis</w:t>
      </w:r>
      <w:proofErr w:type="spellEnd"/>
      <w:r w:rsidRPr="0085127D">
        <w:rPr>
          <w:rFonts w:ascii="Calibri" w:hAnsi="Calibri" w:cs="Calibri"/>
          <w:lang w:val="en-GB"/>
        </w:rPr>
        <w:t xml:space="preserve">, it is necessary to verify the preservation of the enzyme activity in the crystalline form as well as </w:t>
      </w:r>
      <w:r>
        <w:rPr>
          <w:rFonts w:ascii="Calibri" w:hAnsi="Calibri" w:cs="Calibri"/>
          <w:lang w:val="en-GB"/>
        </w:rPr>
        <w:t>adjusting</w:t>
      </w:r>
      <w:r w:rsidRPr="0085127D">
        <w:rPr>
          <w:rFonts w:ascii="Calibri" w:hAnsi="Calibri" w:cs="Calibri"/>
          <w:lang w:val="en-GB"/>
        </w:rPr>
        <w:t xml:space="preserve"> a number of </w:t>
      </w:r>
      <w:r>
        <w:rPr>
          <w:rFonts w:ascii="Calibri" w:hAnsi="Calibri" w:cs="Calibri"/>
          <w:lang w:val="en-GB"/>
        </w:rPr>
        <w:t>parameters controlling the reaction kinetics</w:t>
      </w:r>
      <w:r w:rsidRPr="0085127D">
        <w:rPr>
          <w:rFonts w:ascii="Calibri" w:hAnsi="Calibri" w:cs="Calibri"/>
          <w:lang w:val="en-GB"/>
        </w:rPr>
        <w:t xml:space="preserve">. Indeed, substrate diffusion times within the crystal matrix must be determined as well as the concentrations required to ensure that the different reaction states are captured. The possibility to pre-calibrate most of these parameters at home-laboratory would increase the efficiency of the foreseen kinetic experiments and the access to synchrotron (XFEL) instruments as well as dedicated platforms such as the </w:t>
      </w:r>
      <w:proofErr w:type="spellStart"/>
      <w:r w:rsidRPr="0085127D">
        <w:rPr>
          <w:rFonts w:ascii="Calibri" w:hAnsi="Calibri" w:cs="Calibri"/>
          <w:lang w:val="en-GB"/>
        </w:rPr>
        <w:t>icOS</w:t>
      </w:r>
      <w:proofErr w:type="spellEnd"/>
      <w:r w:rsidRPr="0085127D">
        <w:rPr>
          <w:rFonts w:ascii="Calibri" w:hAnsi="Calibri" w:cs="Calibri"/>
          <w:lang w:val="en-GB"/>
        </w:rPr>
        <w:t xml:space="preserve"> platform in Grenoble. For this reason, we have developed a 3D-printed support to allow </w:t>
      </w:r>
      <w:proofErr w:type="spellStart"/>
      <w:r w:rsidRPr="0085127D">
        <w:rPr>
          <w:rFonts w:ascii="Calibri" w:hAnsi="Calibri" w:cs="Calibri"/>
          <w:lang w:val="en-GB"/>
        </w:rPr>
        <w:t>microdialysis</w:t>
      </w:r>
      <w:proofErr w:type="spellEnd"/>
      <w:r w:rsidRPr="0085127D">
        <w:rPr>
          <w:rFonts w:ascii="Calibri" w:hAnsi="Calibri" w:cs="Calibri"/>
          <w:lang w:val="en-GB"/>
        </w:rPr>
        <w:t xml:space="preserve"> with a reduced external volume. </w:t>
      </w:r>
    </w:p>
    <w:p w:rsidR="0085127D" w:rsidRPr="0085127D" w:rsidRDefault="0085127D" w:rsidP="0085127D">
      <w:pPr>
        <w:pStyle w:val="NormalWeb"/>
        <w:ind w:firstLine="708"/>
        <w:jc w:val="both"/>
        <w:rPr>
          <w:rFonts w:ascii="Calibri" w:hAnsi="Calibri" w:cs="Calibri"/>
          <w:lang w:val="en-GB"/>
        </w:rPr>
      </w:pPr>
      <w:proofErr w:type="spellStart"/>
      <w:r w:rsidRPr="0085127D">
        <w:rPr>
          <w:rFonts w:ascii="Calibri" w:hAnsi="Calibri" w:cs="Calibri"/>
          <w:lang w:val="en-GB"/>
        </w:rPr>
        <w:t>Microdialysis</w:t>
      </w:r>
      <w:proofErr w:type="spellEnd"/>
      <w:r w:rsidRPr="0085127D">
        <w:rPr>
          <w:rFonts w:ascii="Calibri" w:hAnsi="Calibri" w:cs="Calibri"/>
          <w:lang w:val="en-GB"/>
        </w:rPr>
        <w:t xml:space="preserve"> also allows us to check the enzyme activity within the crystal compared to the soluble protein under the same conditions. This tool makes it possible to prepare kinetic crystallography experiments by determining the substrate concentrations and the diffusion time required for the experiment and by taking into account the relationship between the diffusion time and the density of crystallisation solutions. </w:t>
      </w:r>
      <w:proofErr w:type="spellStart"/>
      <w:r w:rsidRPr="0085127D">
        <w:rPr>
          <w:rFonts w:ascii="Calibri" w:hAnsi="Calibri" w:cs="Calibri"/>
          <w:lang w:val="en-GB"/>
        </w:rPr>
        <w:t>Microdialysis</w:t>
      </w:r>
      <w:proofErr w:type="spellEnd"/>
      <w:r w:rsidRPr="0085127D">
        <w:rPr>
          <w:rFonts w:ascii="Calibri" w:hAnsi="Calibri" w:cs="Calibri"/>
          <w:lang w:val="en-GB"/>
        </w:rPr>
        <w:t xml:space="preserve"> by reducing the required volume is cost effective in particular for precious protein samples and/or expensive substrates. It also allows to multiply the measurement points.</w:t>
      </w:r>
    </w:p>
    <w:p w:rsidR="0085127D" w:rsidRPr="0085127D" w:rsidRDefault="0085127D" w:rsidP="0085127D">
      <w:pPr>
        <w:pStyle w:val="NormalWeb"/>
        <w:ind w:firstLine="708"/>
        <w:jc w:val="both"/>
        <w:rPr>
          <w:rFonts w:ascii="Calibri" w:hAnsi="Calibri" w:cs="Calibri"/>
          <w:lang w:val="en-GB"/>
        </w:rPr>
      </w:pPr>
      <w:r w:rsidRPr="0085127D">
        <w:rPr>
          <w:rFonts w:ascii="Calibri" w:hAnsi="Calibri" w:cs="Calibri"/>
          <w:lang w:val="en-GB"/>
        </w:rPr>
        <w:t xml:space="preserve">The exploitation of this new tool will be illustrated through several examples such as substrate diffusion for two different enzymes but also pH </w:t>
      </w:r>
      <w:r>
        <w:rPr>
          <w:rFonts w:ascii="Calibri" w:hAnsi="Calibri" w:cs="Calibri"/>
          <w:lang w:val="en-GB"/>
        </w:rPr>
        <w:t>changes</w:t>
      </w:r>
      <w:r w:rsidRPr="0085127D">
        <w:rPr>
          <w:rFonts w:ascii="Calibri" w:hAnsi="Calibri" w:cs="Calibri"/>
          <w:lang w:val="en-GB"/>
        </w:rPr>
        <w:t xml:space="preserve"> </w:t>
      </w:r>
      <w:r>
        <w:rPr>
          <w:rFonts w:ascii="Calibri" w:hAnsi="Calibri" w:cs="Calibri"/>
          <w:lang w:val="en-GB"/>
        </w:rPr>
        <w:t>for</w:t>
      </w:r>
      <w:r w:rsidRPr="0085127D">
        <w:rPr>
          <w:rFonts w:ascii="Calibri" w:hAnsi="Calibri" w:cs="Calibri"/>
          <w:lang w:val="en-GB"/>
        </w:rPr>
        <w:t xml:space="preserve"> a fluorescent protein. Ultimately, we will also show that the tool can be exploited to study the activity of a membrane protein complex system that require the physical separation of the different key players in the reaction.</w:t>
      </w:r>
    </w:p>
    <w:p w:rsidR="0085127D" w:rsidRPr="0085127D" w:rsidRDefault="0085127D" w:rsidP="0085127D">
      <w:pPr>
        <w:pStyle w:val="NormalWeb"/>
        <w:rPr>
          <w:rStyle w:val="au"/>
          <w:rFonts w:ascii="Verdana" w:eastAsia="Calibri Light" w:hAnsi="Verdana"/>
          <w:sz w:val="18"/>
          <w:szCs w:val="18"/>
        </w:rPr>
      </w:pPr>
      <w:r w:rsidRPr="0085127D">
        <w:rPr>
          <w:rStyle w:val="au"/>
          <w:rFonts w:ascii="Verdana" w:eastAsia="Calibri Light" w:hAnsi="Verdana"/>
          <w:sz w:val="18"/>
          <w:szCs w:val="18"/>
        </w:rPr>
        <w:t xml:space="preserve">[1] </w:t>
      </w:r>
      <w:proofErr w:type="spellStart"/>
      <w:r w:rsidRPr="0085127D">
        <w:rPr>
          <w:rStyle w:val="au"/>
          <w:rFonts w:ascii="Verdana" w:eastAsia="Calibri Light" w:hAnsi="Verdana"/>
          <w:sz w:val="18"/>
          <w:szCs w:val="18"/>
        </w:rPr>
        <w:t>Caramello</w:t>
      </w:r>
      <w:proofErr w:type="spellEnd"/>
      <w:r w:rsidRPr="0085127D">
        <w:rPr>
          <w:rStyle w:val="au"/>
          <w:rFonts w:ascii="Verdana" w:eastAsia="Calibri Light" w:hAnsi="Verdana"/>
          <w:sz w:val="18"/>
          <w:szCs w:val="18"/>
        </w:rPr>
        <w:t xml:space="preserve"> N. &amp; Royant A. (2024), </w:t>
      </w:r>
      <w:r w:rsidRPr="0085127D">
        <w:rPr>
          <w:rStyle w:val="au"/>
          <w:rFonts w:ascii="Verdana" w:eastAsia="Calibri Light" w:hAnsi="Verdana"/>
          <w:i/>
          <w:iCs/>
          <w:sz w:val="18"/>
          <w:szCs w:val="18"/>
        </w:rPr>
        <w:t xml:space="preserve">Acta </w:t>
      </w:r>
      <w:proofErr w:type="spellStart"/>
      <w:r w:rsidRPr="0085127D">
        <w:rPr>
          <w:rStyle w:val="au"/>
          <w:rFonts w:ascii="Verdana" w:eastAsia="Calibri Light" w:hAnsi="Verdana"/>
          <w:i/>
          <w:iCs/>
          <w:sz w:val="18"/>
          <w:szCs w:val="18"/>
        </w:rPr>
        <w:t>Cryst</w:t>
      </w:r>
      <w:proofErr w:type="spellEnd"/>
      <w:r w:rsidRPr="0085127D">
        <w:rPr>
          <w:rStyle w:val="au"/>
          <w:rFonts w:ascii="Verdana" w:eastAsia="Calibri Light" w:hAnsi="Verdana"/>
          <w:sz w:val="18"/>
          <w:szCs w:val="18"/>
        </w:rPr>
        <w:t xml:space="preserve">. </w:t>
      </w:r>
      <w:r w:rsidRPr="0085127D">
        <w:rPr>
          <w:rStyle w:val="au"/>
          <w:rFonts w:ascii="Verdana" w:eastAsia="Calibri Light" w:hAnsi="Verdana"/>
          <w:b/>
          <w:bCs/>
          <w:sz w:val="18"/>
          <w:szCs w:val="18"/>
        </w:rPr>
        <w:t>D80</w:t>
      </w:r>
      <w:r w:rsidRPr="0085127D">
        <w:rPr>
          <w:rStyle w:val="au"/>
          <w:rFonts w:ascii="Verdana" w:eastAsia="Calibri Light" w:hAnsi="Verdana"/>
          <w:sz w:val="18"/>
          <w:szCs w:val="18"/>
        </w:rPr>
        <w:t>, 60-79.</w:t>
      </w:r>
    </w:p>
    <w:p w:rsidR="0085127D" w:rsidRPr="0085127D" w:rsidRDefault="0085127D" w:rsidP="0085127D">
      <w:pPr>
        <w:pStyle w:val="NormalWeb"/>
        <w:rPr>
          <w:rStyle w:val="au"/>
          <w:rFonts w:ascii="Verdana" w:eastAsia="Calibri Light" w:hAnsi="Verdana"/>
          <w:sz w:val="18"/>
          <w:szCs w:val="18"/>
        </w:rPr>
      </w:pPr>
      <w:r w:rsidRPr="0085127D">
        <w:rPr>
          <w:rStyle w:val="au"/>
          <w:rFonts w:ascii="Verdana" w:eastAsia="Calibri Light" w:hAnsi="Verdana"/>
          <w:sz w:val="18"/>
          <w:szCs w:val="18"/>
        </w:rPr>
        <w:t xml:space="preserve">[2] Henkel A. &amp; Oberthür D. (2024), </w:t>
      </w:r>
      <w:r w:rsidRPr="0085127D">
        <w:rPr>
          <w:rStyle w:val="au"/>
          <w:rFonts w:ascii="Verdana" w:eastAsia="Calibri Light" w:hAnsi="Verdana"/>
          <w:i/>
          <w:iCs/>
          <w:sz w:val="18"/>
          <w:szCs w:val="18"/>
        </w:rPr>
        <w:t xml:space="preserve">Acta </w:t>
      </w:r>
      <w:proofErr w:type="spellStart"/>
      <w:r w:rsidRPr="0085127D">
        <w:rPr>
          <w:rStyle w:val="au"/>
          <w:rFonts w:ascii="Verdana" w:eastAsia="Calibri Light" w:hAnsi="Verdana"/>
          <w:i/>
          <w:iCs/>
          <w:sz w:val="18"/>
          <w:szCs w:val="18"/>
        </w:rPr>
        <w:t>Cryst</w:t>
      </w:r>
      <w:proofErr w:type="spellEnd"/>
      <w:r w:rsidRPr="0085127D">
        <w:rPr>
          <w:rStyle w:val="au"/>
          <w:rFonts w:ascii="Verdana" w:eastAsia="Calibri Light" w:hAnsi="Verdana"/>
          <w:i/>
          <w:iCs/>
          <w:sz w:val="18"/>
          <w:szCs w:val="18"/>
        </w:rPr>
        <w:t xml:space="preserve">, </w:t>
      </w:r>
      <w:r w:rsidRPr="0085127D">
        <w:rPr>
          <w:rStyle w:val="au"/>
          <w:rFonts w:ascii="Verdana" w:eastAsia="Calibri Light" w:hAnsi="Verdana"/>
          <w:b/>
          <w:bCs/>
          <w:sz w:val="18"/>
          <w:szCs w:val="18"/>
        </w:rPr>
        <w:t>D80</w:t>
      </w:r>
      <w:r w:rsidRPr="0085127D">
        <w:rPr>
          <w:rStyle w:val="au"/>
          <w:rFonts w:ascii="Verdana" w:eastAsia="Calibri Light" w:hAnsi="Verdana"/>
          <w:sz w:val="18"/>
          <w:szCs w:val="18"/>
        </w:rPr>
        <w:t>, 563-679</w:t>
      </w:r>
    </w:p>
    <w:p w:rsidR="0085127D" w:rsidRPr="0085127D" w:rsidRDefault="0085127D" w:rsidP="0085127D">
      <w:pPr>
        <w:pStyle w:val="NormalWeb"/>
        <w:rPr>
          <w:rStyle w:val="au"/>
          <w:rFonts w:ascii="Verdana" w:eastAsia="Calibri Light" w:hAnsi="Verdana"/>
          <w:sz w:val="18"/>
          <w:szCs w:val="18"/>
        </w:rPr>
      </w:pPr>
      <w:r w:rsidRPr="0085127D">
        <w:rPr>
          <w:rStyle w:val="au"/>
          <w:rFonts w:ascii="Verdana" w:eastAsia="Calibri Light" w:hAnsi="Verdana"/>
          <w:sz w:val="18"/>
          <w:szCs w:val="18"/>
        </w:rPr>
        <w:t xml:space="preserve">[3] </w:t>
      </w:r>
      <w:proofErr w:type="spellStart"/>
      <w:r w:rsidRPr="0085127D">
        <w:rPr>
          <w:rStyle w:val="au"/>
          <w:rFonts w:ascii="Verdana" w:eastAsia="Calibri Light" w:hAnsi="Verdana"/>
          <w:sz w:val="18"/>
          <w:szCs w:val="18"/>
        </w:rPr>
        <w:t>Shoeman</w:t>
      </w:r>
      <w:proofErr w:type="spellEnd"/>
      <w:r w:rsidRPr="0085127D">
        <w:rPr>
          <w:rStyle w:val="au"/>
          <w:rFonts w:ascii="Verdana" w:eastAsia="Calibri Light" w:hAnsi="Verdana"/>
          <w:sz w:val="18"/>
          <w:szCs w:val="18"/>
        </w:rPr>
        <w:t xml:space="preserve"> R. L., Hartmann E. &amp; </w:t>
      </w:r>
      <w:proofErr w:type="spellStart"/>
      <w:r w:rsidRPr="0085127D">
        <w:rPr>
          <w:rStyle w:val="au"/>
          <w:rFonts w:ascii="Verdana" w:eastAsia="Calibri Light" w:hAnsi="Verdana"/>
          <w:sz w:val="18"/>
          <w:szCs w:val="18"/>
        </w:rPr>
        <w:t>Schlichting</w:t>
      </w:r>
      <w:proofErr w:type="spellEnd"/>
      <w:r w:rsidRPr="0085127D">
        <w:rPr>
          <w:rStyle w:val="au"/>
          <w:rFonts w:ascii="Verdana" w:eastAsia="Calibri Light" w:hAnsi="Verdana"/>
          <w:sz w:val="18"/>
          <w:szCs w:val="18"/>
        </w:rPr>
        <w:t xml:space="preserve"> I. (2023), </w:t>
      </w:r>
      <w:r w:rsidRPr="0085127D">
        <w:rPr>
          <w:rStyle w:val="au"/>
          <w:rFonts w:ascii="Verdana" w:eastAsia="Calibri Light" w:hAnsi="Verdana"/>
          <w:i/>
          <w:iCs/>
          <w:sz w:val="18"/>
          <w:szCs w:val="18"/>
        </w:rPr>
        <w:t xml:space="preserve">Nat Protoc, </w:t>
      </w:r>
      <w:r w:rsidRPr="0085127D">
        <w:rPr>
          <w:rStyle w:val="au"/>
          <w:rFonts w:ascii="Verdana" w:eastAsia="Calibri Light" w:hAnsi="Verdana"/>
          <w:b/>
          <w:bCs/>
          <w:sz w:val="18"/>
          <w:szCs w:val="18"/>
        </w:rPr>
        <w:t>18</w:t>
      </w:r>
      <w:r w:rsidRPr="0085127D">
        <w:rPr>
          <w:rStyle w:val="au"/>
          <w:rFonts w:ascii="Verdana" w:eastAsia="Calibri Light" w:hAnsi="Verdana"/>
          <w:sz w:val="18"/>
          <w:szCs w:val="18"/>
        </w:rPr>
        <w:t>, 854-882</w:t>
      </w:r>
    </w:p>
    <w:p w:rsidR="0085127D" w:rsidRPr="0085127D" w:rsidRDefault="0085127D" w:rsidP="0085127D">
      <w:pPr>
        <w:pStyle w:val="NormalWeb"/>
        <w:rPr>
          <w:rStyle w:val="au"/>
          <w:rFonts w:ascii="Verdana" w:eastAsia="Calibri Light" w:hAnsi="Verdana"/>
          <w:sz w:val="18"/>
          <w:szCs w:val="18"/>
        </w:rPr>
      </w:pPr>
      <w:r w:rsidRPr="0085127D">
        <w:rPr>
          <w:rStyle w:val="au"/>
          <w:rFonts w:ascii="Verdana" w:eastAsia="Calibri Light" w:hAnsi="Verdana"/>
          <w:sz w:val="18"/>
          <w:szCs w:val="18"/>
        </w:rPr>
        <w:t xml:space="preserve">[4] Jose M. Martin-Garcia (2021), </w:t>
      </w:r>
      <w:proofErr w:type="spellStart"/>
      <w:r w:rsidRPr="0085127D">
        <w:rPr>
          <w:rStyle w:val="au"/>
          <w:rFonts w:ascii="Verdana" w:eastAsia="Calibri Light" w:hAnsi="Verdana"/>
          <w:i/>
          <w:iCs/>
          <w:sz w:val="18"/>
          <w:szCs w:val="18"/>
        </w:rPr>
        <w:t>Crystals</w:t>
      </w:r>
      <w:proofErr w:type="spellEnd"/>
      <w:r w:rsidRPr="0085127D">
        <w:rPr>
          <w:rStyle w:val="au"/>
          <w:rFonts w:ascii="Verdana" w:eastAsia="Calibri Light" w:hAnsi="Verdana"/>
          <w:i/>
          <w:iCs/>
          <w:sz w:val="18"/>
          <w:szCs w:val="18"/>
        </w:rPr>
        <w:t>,</w:t>
      </w:r>
      <w:r w:rsidRPr="0085127D">
        <w:rPr>
          <w:rStyle w:val="au"/>
          <w:rFonts w:ascii="Verdana" w:eastAsia="Calibri Light" w:hAnsi="Verdana"/>
          <w:sz w:val="18"/>
          <w:szCs w:val="18"/>
        </w:rPr>
        <w:t xml:space="preserve"> </w:t>
      </w:r>
      <w:r w:rsidRPr="0085127D">
        <w:rPr>
          <w:rStyle w:val="au"/>
          <w:rFonts w:ascii="Verdana" w:eastAsia="Calibri Light" w:hAnsi="Verdana"/>
          <w:b/>
          <w:bCs/>
          <w:sz w:val="18"/>
          <w:szCs w:val="18"/>
        </w:rPr>
        <w:t>11(5)</w:t>
      </w:r>
      <w:r w:rsidRPr="0085127D">
        <w:rPr>
          <w:rStyle w:val="au"/>
          <w:rFonts w:ascii="Verdana" w:eastAsia="Calibri Light" w:hAnsi="Verdana"/>
          <w:sz w:val="18"/>
          <w:szCs w:val="18"/>
        </w:rPr>
        <w:t>, 521</w:t>
      </w:r>
    </w:p>
    <w:p w:rsidR="00DB7923" w:rsidRDefault="0085127D" w:rsidP="0085127D">
      <w:pPr>
        <w:pStyle w:val="Acknowledgement"/>
      </w:pPr>
      <w:r>
        <w:t xml:space="preserve">This work is supported by the </w:t>
      </w:r>
      <w:proofErr w:type="spellStart"/>
      <w:r>
        <w:t>Région</w:t>
      </w:r>
      <w:proofErr w:type="spellEnd"/>
      <w:r>
        <w:t xml:space="preserve"> Auvergne-Rhône-Alpes through the project </w:t>
      </w:r>
      <w:proofErr w:type="spellStart"/>
      <w:r>
        <w:t>NutriCLEC</w:t>
      </w:r>
      <w:proofErr w:type="spellEnd"/>
      <w:r>
        <w:t xml:space="preserve"> (Pack Ambition Recherche 2021).</w:t>
      </w:r>
    </w:p>
    <w:p w:rsidR="007F0968" w:rsidRPr="007F0968" w:rsidRDefault="007F0968" w:rsidP="007F0968"/>
    <w:p w:rsidR="007F0968" w:rsidRPr="007F0968" w:rsidRDefault="007F0968" w:rsidP="007F0968"/>
    <w:p w:rsidR="007F0968" w:rsidRPr="007F0968" w:rsidRDefault="007F0968" w:rsidP="007F0968"/>
    <w:p w:rsidR="007F0968" w:rsidRPr="007F0968" w:rsidRDefault="007F0968" w:rsidP="007F0968"/>
    <w:p w:rsidR="007F0968" w:rsidRPr="007F0968" w:rsidRDefault="007F0968" w:rsidP="007F0968"/>
    <w:p w:rsidR="007F0968" w:rsidRPr="007F0968" w:rsidRDefault="007F0968" w:rsidP="007F0968"/>
    <w:p w:rsidR="007F0968" w:rsidRPr="007F0968" w:rsidRDefault="007F0968" w:rsidP="007F0968">
      <w:pPr>
        <w:tabs>
          <w:tab w:val="left" w:pos="7425"/>
        </w:tabs>
      </w:pPr>
      <w:r>
        <w:tab/>
      </w:r>
    </w:p>
    <w:sectPr w:rsidR="007F0968" w:rsidRPr="007F0968">
      <w:headerReference w:type="even" r:id="rId10"/>
      <w:headerReference w:type="default" r:id="rId11"/>
      <w:footerReference w:type="even" r:id="rId12"/>
      <w:footerReference w:type="default" r:id="rId13"/>
      <w:headerReference w:type="first" r:id="rId14"/>
      <w:footerReference w:type="first" r:id="rId15"/>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7BF4" w:rsidRDefault="00B37BF4">
      <w:pPr>
        <w:spacing w:after="0"/>
      </w:pPr>
      <w:r>
        <w:separator/>
      </w:r>
    </w:p>
  </w:endnote>
  <w:endnote w:type="continuationSeparator" w:id="0">
    <w:p w:rsidR="00B37BF4" w:rsidRDefault="00B37B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0968" w:rsidRDefault="007F09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7923" w:rsidRDefault="0085127D">
    <w:pPr>
      <w:tabs>
        <w:tab w:val="center" w:pos="4703"/>
        <w:tab w:val="right" w:pos="9406"/>
      </w:tabs>
    </w:pPr>
    <w:r w:rsidRPr="0085127D">
      <w:rPr>
        <w:rStyle w:val="au"/>
        <w:rFonts w:ascii="Verdana" w:eastAsia="Calibri Light" w:hAnsi="Verdana"/>
        <w:sz w:val="18"/>
        <w:szCs w:val="18"/>
      </w:rPr>
      <w:t xml:space="preserve">Bonnardel A., Jacquet P., </w:t>
    </w:r>
    <w:proofErr w:type="spellStart"/>
    <w:r w:rsidRPr="0085127D">
      <w:rPr>
        <w:rStyle w:val="au"/>
        <w:rFonts w:ascii="Verdana" w:eastAsia="Calibri Light" w:hAnsi="Verdana"/>
        <w:sz w:val="18"/>
        <w:szCs w:val="18"/>
      </w:rPr>
      <w:t>Royant</w:t>
    </w:r>
    <w:proofErr w:type="spellEnd"/>
    <w:r w:rsidRPr="0085127D">
      <w:rPr>
        <w:rStyle w:val="au"/>
        <w:rFonts w:ascii="Verdana" w:eastAsia="Calibri Light" w:hAnsi="Verdana"/>
        <w:sz w:val="18"/>
        <w:szCs w:val="18"/>
      </w:rPr>
      <w:t xml:space="preserve"> A., Franzetti B., Dupuy J. &amp; Girard E.</w:t>
    </w:r>
    <w:r w:rsidRPr="0085127D">
      <w:rPr>
        <w:rStyle w:val="au"/>
        <w:rFonts w:ascii="Verdana" w:eastAsia="Calibri Light" w:hAnsi="Verdana"/>
        <w:sz w:val="18"/>
        <w:szCs w:val="18"/>
      </w:rPr>
      <w:t xml:space="preserve">, to be </w:t>
    </w:r>
    <w:r w:rsidR="007F0968" w:rsidRPr="0085127D">
      <w:rPr>
        <w:rStyle w:val="au"/>
        <w:rFonts w:ascii="Verdana" w:eastAsia="Calibri Light" w:hAnsi="Verdana"/>
        <w:sz w:val="18"/>
        <w:szCs w:val="18"/>
      </w:rPr>
      <w:t>submitted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0968" w:rsidRDefault="007F09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7BF4" w:rsidRDefault="00B37BF4">
      <w:pPr>
        <w:spacing w:after="0"/>
      </w:pPr>
      <w:r>
        <w:separator/>
      </w:r>
    </w:p>
  </w:footnote>
  <w:footnote w:type="continuationSeparator" w:id="0">
    <w:p w:rsidR="00B37BF4" w:rsidRDefault="00B37B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0968" w:rsidRDefault="007F09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7923" w:rsidRDefault="00000000">
    <w:pPr>
      <w:tabs>
        <w:tab w:val="center" w:pos="4703"/>
        <w:tab w:val="right" w:pos="9406"/>
      </w:tabs>
    </w:pPr>
    <w:r>
      <w:rPr>
        <w:b/>
        <w:bCs/>
      </w:rPr>
      <w:t>M</w:t>
    </w:r>
    <w:r w:rsidR="0085127D">
      <w:rPr>
        <w:b/>
        <w:bCs/>
      </w:rPr>
      <w:t>5</w:t>
    </w:r>
    <w:r>
      <w:tab/>
    </w:r>
    <w:r w:rsidR="0085127D" w:rsidRPr="0085127D">
      <w:rPr>
        <w:b/>
        <w:bCs/>
      </w:rPr>
      <w:t>Structural studies in enzymology</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0968" w:rsidRDefault="007F09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A6CF5"/>
    <w:multiLevelType w:val="hybridMultilevel"/>
    <w:tmpl w:val="4EC2FC92"/>
    <w:lvl w:ilvl="0" w:tplc="CE04254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1B46116"/>
    <w:multiLevelType w:val="hybridMultilevel"/>
    <w:tmpl w:val="D33404CE"/>
    <w:lvl w:ilvl="0" w:tplc="605AE1D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6BA2145"/>
    <w:multiLevelType w:val="multilevel"/>
    <w:tmpl w:val="81040F80"/>
    <w:styleLink w:val="Listeactuelle1"/>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CD7778E"/>
    <w:multiLevelType w:val="hybridMultilevel"/>
    <w:tmpl w:val="E59AF71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D7282F"/>
    <w:multiLevelType w:val="hybridMultilevel"/>
    <w:tmpl w:val="81040F80"/>
    <w:lvl w:ilvl="0" w:tplc="482C259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934898167">
    <w:abstractNumId w:val="3"/>
  </w:num>
  <w:num w:numId="2" w16cid:durableId="43333577">
    <w:abstractNumId w:val="0"/>
  </w:num>
  <w:num w:numId="3" w16cid:durableId="1676223353">
    <w:abstractNumId w:val="4"/>
  </w:num>
  <w:num w:numId="4" w16cid:durableId="441148837">
    <w:abstractNumId w:val="2"/>
  </w:num>
  <w:num w:numId="5" w16cid:durableId="160217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23"/>
    <w:rsid w:val="007F0968"/>
    <w:rsid w:val="0085127D"/>
    <w:rsid w:val="00B37BF4"/>
    <w:rsid w:val="00CB73FA"/>
    <w:rsid w:val="00D550B3"/>
    <w:rsid w:val="00DB792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51FA4"/>
  <w15:docId w15:val="{5DC7FC8D-2ADF-6642-B476-F2E8BE20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pacing w:after="120"/>
      <w:jc w:val="both"/>
    </w:pPr>
    <w:rPr>
      <w:lang w:eastAsia="de-DE"/>
    </w:rPr>
  </w:style>
  <w:style w:type="paragraph" w:styleId="Titre1">
    <w:name w:val="heading 1"/>
    <w:basedOn w:val="Normal"/>
    <w:next w:val="Titre2"/>
    <w:link w:val="Titre1Car"/>
    <w:uiPriority w:val="99"/>
    <w:qFormat/>
    <w:rsid w:val="00925275"/>
    <w:pPr>
      <w:keepNext/>
      <w:spacing w:before="240" w:after="60"/>
      <w:jc w:val="center"/>
      <w:outlineLvl w:val="0"/>
    </w:pPr>
    <w:rPr>
      <w:rFonts w:ascii="Arial" w:hAnsi="Arial" w:cs="Arial"/>
      <w:b/>
      <w:bCs/>
      <w:kern w:val="2"/>
      <w:sz w:val="24"/>
      <w:szCs w:val="32"/>
    </w:rPr>
  </w:style>
  <w:style w:type="paragraph" w:styleId="Titre2">
    <w:name w:val="heading 2"/>
    <w:basedOn w:val="Normal"/>
    <w:next w:val="Titre3"/>
    <w:link w:val="Titre2Car"/>
    <w:uiPriority w:val="99"/>
    <w:qFormat/>
    <w:rsid w:val="00925275"/>
    <w:pPr>
      <w:keepNext/>
      <w:spacing w:before="240" w:after="240"/>
      <w:jc w:val="center"/>
      <w:outlineLvl w:val="1"/>
    </w:pPr>
    <w:rPr>
      <w:rFonts w:ascii="Arial" w:hAnsi="Arial" w:cs="Arial"/>
      <w:b/>
      <w:bCs/>
      <w:iCs/>
      <w:szCs w:val="28"/>
    </w:rPr>
  </w:style>
  <w:style w:type="paragraph" w:styleId="Titre3">
    <w:name w:val="heading 3"/>
    <w:basedOn w:val="Normal"/>
    <w:next w:val="Normal"/>
    <w:link w:val="Titre3Car"/>
    <w:uiPriority w:val="99"/>
    <w:qFormat/>
    <w:rsid w:val="002E03DB"/>
    <w:pPr>
      <w:keepNext/>
      <w:jc w:val="center"/>
      <w:outlineLvl w:val="2"/>
    </w:pPr>
    <w:rPr>
      <w:bCs/>
      <w:i/>
      <w:szCs w:val="24"/>
      <w:lang w:eastAsia="cs-CZ"/>
    </w:rPr>
  </w:style>
  <w:style w:type="paragraph" w:styleId="Titre4">
    <w:name w:val="heading 4"/>
    <w:basedOn w:val="Normal"/>
    <w:next w:val="Normal"/>
    <w:link w:val="Titre4Car"/>
    <w:uiPriority w:val="99"/>
    <w:qFormat/>
    <w:rsid w:val="00FF732E"/>
    <w:pPr>
      <w:keepNext/>
      <w:ind w:left="567" w:hanging="567"/>
      <w:outlineLvl w:val="3"/>
    </w:pPr>
    <w:rPr>
      <w:bCs/>
      <w:sz w:val="18"/>
      <w:szCs w:val="24"/>
      <w:lang w:eastAsia="cs-CZ"/>
    </w:rPr>
  </w:style>
  <w:style w:type="paragraph" w:styleId="Titre5">
    <w:name w:val="heading 5"/>
    <w:basedOn w:val="Titre6"/>
    <w:next w:val="Normal"/>
    <w:link w:val="Titre5Car"/>
    <w:uiPriority w:val="9"/>
    <w:unhideWhenUsed/>
    <w:qFormat/>
    <w:rsid w:val="00605A18"/>
    <w:pPr>
      <w:outlineLvl w:val="4"/>
    </w:pPr>
    <w:rPr>
      <w:b/>
    </w:rPr>
  </w:style>
  <w:style w:type="paragraph" w:styleId="Titre6">
    <w:name w:val="heading 6"/>
    <w:basedOn w:val="Normal"/>
    <w:next w:val="Normal"/>
    <w:link w:val="Titre6Car"/>
    <w:uiPriority w:val="9"/>
    <w:unhideWhenUsed/>
    <w:qFormat/>
    <w:rsid w:val="00777DA8"/>
    <w:pPr>
      <w:spacing w:after="60"/>
      <w:jc w:val="center"/>
      <w:outlineLvl w:val="5"/>
    </w:pPr>
    <w:rPr>
      <w:b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925275"/>
    <w:rPr>
      <w:rFonts w:ascii="Arial" w:hAnsi="Arial" w:cs="Arial"/>
      <w:b/>
      <w:bCs/>
      <w:kern w:val="2"/>
      <w:sz w:val="24"/>
      <w:szCs w:val="32"/>
      <w:lang w:val="en-GB" w:eastAsia="de-DE"/>
    </w:rPr>
  </w:style>
  <w:style w:type="character" w:customStyle="1" w:styleId="Titre2Car">
    <w:name w:val="Titre 2 Car"/>
    <w:link w:val="Titre2"/>
    <w:uiPriority w:val="99"/>
    <w:qFormat/>
    <w:locked/>
    <w:rsid w:val="00925275"/>
    <w:rPr>
      <w:rFonts w:ascii="Arial" w:hAnsi="Arial" w:cs="Arial"/>
      <w:b/>
      <w:bCs/>
      <w:iCs/>
      <w:sz w:val="22"/>
      <w:szCs w:val="28"/>
      <w:lang w:val="en-GB" w:eastAsia="de-DE"/>
    </w:rPr>
  </w:style>
  <w:style w:type="character" w:customStyle="1" w:styleId="Titre3Car">
    <w:name w:val="Titre 3 Car"/>
    <w:link w:val="Titre3"/>
    <w:uiPriority w:val="99"/>
    <w:qFormat/>
    <w:locked/>
    <w:rsid w:val="002E03DB"/>
    <w:rPr>
      <w:bCs/>
      <w:i/>
      <w:sz w:val="22"/>
      <w:szCs w:val="24"/>
      <w:lang w:val="en-GB"/>
    </w:rPr>
  </w:style>
  <w:style w:type="character" w:customStyle="1" w:styleId="Titre4Car">
    <w:name w:val="Titre 4 Car"/>
    <w:link w:val="Titre4"/>
    <w:uiPriority w:val="99"/>
    <w:qFormat/>
    <w:locked/>
    <w:rsid w:val="00FF732E"/>
    <w:rPr>
      <w:bCs/>
      <w:sz w:val="18"/>
      <w:szCs w:val="24"/>
      <w:lang w:val="en-GB"/>
    </w:rPr>
  </w:style>
  <w:style w:type="character" w:customStyle="1" w:styleId="AdresseHTMLCar">
    <w:name w:val="Adresse HTML Car"/>
    <w:link w:val="AdresseHTML"/>
    <w:uiPriority w:val="99"/>
    <w:semiHidden/>
    <w:qFormat/>
    <w:rsid w:val="005E6DCD"/>
    <w:rPr>
      <w:i/>
      <w:iCs/>
      <w:lang w:val="de-DE" w:eastAsia="de-DE"/>
    </w:rPr>
  </w:style>
  <w:style w:type="character" w:customStyle="1" w:styleId="Titre5Car">
    <w:name w:val="Titre 5 Car"/>
    <w:link w:val="Titre5"/>
    <w:uiPriority w:val="9"/>
    <w:qFormat/>
    <w:rsid w:val="00605A18"/>
    <w:rPr>
      <w:b/>
      <w:bCs/>
      <w:szCs w:val="22"/>
      <w:lang w:val="en-GB" w:eastAsia="de-DE"/>
    </w:rPr>
  </w:style>
  <w:style w:type="character" w:customStyle="1" w:styleId="Titre6Car">
    <w:name w:val="Titre 6 Car"/>
    <w:link w:val="Titre6"/>
    <w:uiPriority w:val="9"/>
    <w:qFormat/>
    <w:rsid w:val="00777DA8"/>
    <w:rPr>
      <w:rFonts w:eastAsia="Times New Roman" w:cs="Times New Roman"/>
      <w:bCs/>
      <w:szCs w:val="22"/>
      <w:lang w:val="de-DE" w:eastAsia="de-DE"/>
    </w:rPr>
  </w:style>
  <w:style w:type="character" w:customStyle="1" w:styleId="En-tteCar">
    <w:name w:val="En-tête Car"/>
    <w:link w:val="En-tte"/>
    <w:uiPriority w:val="99"/>
    <w:qFormat/>
    <w:rsid w:val="00D13351"/>
    <w:rPr>
      <w:lang w:val="en-GB" w:eastAsia="de-DE"/>
    </w:rPr>
  </w:style>
  <w:style w:type="character" w:customStyle="1" w:styleId="PieddepageCar">
    <w:name w:val="Pied de page Car"/>
    <w:link w:val="Pieddepage"/>
    <w:uiPriority w:val="99"/>
    <w:qFormat/>
    <w:rsid w:val="00D13351"/>
    <w:rPr>
      <w:lang w:val="en-GB" w:eastAsia="de-DE"/>
    </w:rPr>
  </w:style>
  <w:style w:type="character" w:customStyle="1" w:styleId="TextedebullesCar">
    <w:name w:val="Texte de bulles Car"/>
    <w:link w:val="Textedebulles"/>
    <w:uiPriority w:val="99"/>
    <w:semiHidden/>
    <w:qFormat/>
    <w:rsid w:val="00C64DBE"/>
    <w:rPr>
      <w:rFonts w:ascii="Tahoma" w:hAnsi="Tahoma" w:cs="Tahoma"/>
      <w:sz w:val="16"/>
      <w:szCs w:val="16"/>
      <w:lang w:val="en-GB" w:eastAsia="de-DE"/>
    </w:rPr>
  </w:style>
  <w:style w:type="paragraph" w:customStyle="1" w:styleId="Heading">
    <w:name w:val="Heading"/>
    <w:basedOn w:val="Normal"/>
    <w:next w:val="Corpsdetexte"/>
    <w:qFormat/>
    <w:pPr>
      <w:keepNext/>
      <w:spacing w:before="24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AdresseHTML">
    <w:name w:val="HTML Address"/>
    <w:basedOn w:val="Normal"/>
    <w:link w:val="AdresseHTMLCar"/>
    <w:uiPriority w:val="99"/>
    <w:semiHidden/>
    <w:unhideWhenUsed/>
    <w:qFormat/>
    <w:rsid w:val="005E6DCD"/>
    <w:rPr>
      <w:i/>
      <w:iCs/>
    </w:rPr>
  </w:style>
  <w:style w:type="paragraph" w:customStyle="1" w:styleId="HeaderandFooter">
    <w:name w:val="Header and Footer"/>
    <w:basedOn w:val="Normal"/>
    <w:qFormat/>
  </w:style>
  <w:style w:type="paragraph" w:styleId="En-tte">
    <w:name w:val="header"/>
    <w:basedOn w:val="Normal"/>
    <w:link w:val="En-tteCar"/>
    <w:uiPriority w:val="99"/>
    <w:unhideWhenUsed/>
    <w:rsid w:val="00D13351"/>
    <w:pPr>
      <w:tabs>
        <w:tab w:val="center" w:pos="4536"/>
        <w:tab w:val="right" w:pos="9072"/>
      </w:tabs>
    </w:pPr>
  </w:style>
  <w:style w:type="paragraph" w:styleId="Pieddepage">
    <w:name w:val="footer"/>
    <w:basedOn w:val="Normal"/>
    <w:link w:val="PieddepageCar"/>
    <w:uiPriority w:val="99"/>
    <w:unhideWhenUsed/>
    <w:rsid w:val="00D13351"/>
    <w:pPr>
      <w:tabs>
        <w:tab w:val="center" w:pos="4536"/>
        <w:tab w:val="right" w:pos="9072"/>
      </w:tabs>
    </w:pPr>
  </w:style>
  <w:style w:type="paragraph" w:styleId="Textedebulles">
    <w:name w:val="Balloon Text"/>
    <w:basedOn w:val="Normal"/>
    <w:link w:val="TextedebullesCar"/>
    <w:uiPriority w:val="99"/>
    <w:semiHidden/>
    <w:unhideWhenUsed/>
    <w:qFormat/>
    <w:rsid w:val="00C64DBE"/>
    <w:pPr>
      <w:spacing w:after="0"/>
    </w:pPr>
    <w:rPr>
      <w:rFonts w:ascii="Tahoma" w:hAnsi="Tahoma" w:cs="Tahoma"/>
      <w:sz w:val="16"/>
      <w:szCs w:val="16"/>
    </w:rPr>
  </w:style>
  <w:style w:type="table" w:styleId="Grilledutableau">
    <w:name w:val="Table Grid"/>
    <w:basedOn w:val="Tableau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1">
    <w:name w:val="Liste actuelle1"/>
    <w:uiPriority w:val="99"/>
    <w:rsid w:val="0085127D"/>
    <w:pPr>
      <w:numPr>
        <w:numId w:val="4"/>
      </w:numPr>
    </w:pPr>
  </w:style>
  <w:style w:type="character" w:styleId="Lienhypertexte">
    <w:name w:val="Hyperlink"/>
    <w:basedOn w:val="Policepardfaut"/>
    <w:uiPriority w:val="99"/>
    <w:unhideWhenUsed/>
    <w:rsid w:val="0085127D"/>
    <w:rPr>
      <w:color w:val="0563C1" w:themeColor="hyperlink"/>
      <w:u w:val="single"/>
    </w:rPr>
  </w:style>
  <w:style w:type="character" w:styleId="Mentionnonrsolue">
    <w:name w:val="Unresolved Mention"/>
    <w:basedOn w:val="Policepardfaut"/>
    <w:uiPriority w:val="99"/>
    <w:semiHidden/>
    <w:unhideWhenUsed/>
    <w:rsid w:val="0085127D"/>
    <w:rPr>
      <w:color w:val="605E5C"/>
      <w:shd w:val="clear" w:color="auto" w:fill="E1DFDD"/>
    </w:rPr>
  </w:style>
  <w:style w:type="paragraph" w:styleId="NormalWeb">
    <w:name w:val="Normal (Web)"/>
    <w:basedOn w:val="Normal"/>
    <w:uiPriority w:val="99"/>
    <w:unhideWhenUsed/>
    <w:rsid w:val="0085127D"/>
    <w:pPr>
      <w:suppressAutoHyphens w:val="0"/>
      <w:spacing w:before="100" w:beforeAutospacing="1" w:after="100" w:afterAutospacing="1"/>
      <w:jc w:val="left"/>
    </w:pPr>
    <w:rPr>
      <w:sz w:val="24"/>
      <w:szCs w:val="24"/>
      <w:lang w:val="fr-FR" w:eastAsia="fr-FR"/>
    </w:rPr>
  </w:style>
  <w:style w:type="character" w:customStyle="1" w:styleId="au">
    <w:name w:val="au"/>
    <w:basedOn w:val="Policepardfaut"/>
    <w:rsid w:val="0085127D"/>
  </w:style>
  <w:style w:type="character" w:styleId="Lienhypertextesuivivisit">
    <w:name w:val="FollowedHyperlink"/>
    <w:basedOn w:val="Policepardfaut"/>
    <w:uiPriority w:val="99"/>
    <w:semiHidden/>
    <w:unhideWhenUsed/>
    <w:rsid w:val="00CB7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nna.bonnardel@ib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c.girard@ibs.fr"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427</Words>
  <Characters>2350</Characters>
  <Application>Microsoft Office Word</Application>
  <DocSecurity>0</DocSecurity>
  <Lines>19</Lines>
  <Paragraphs>5</Paragraphs>
  <ScaleCrop>false</ScaleCrop>
  <Company>MFF UK</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Anna Bonnardel</cp:lastModifiedBy>
  <cp:revision>5</cp:revision>
  <dcterms:created xsi:type="dcterms:W3CDTF">2025-04-29T09:54:00Z</dcterms:created>
  <dcterms:modified xsi:type="dcterms:W3CDTF">2025-04-29T11:48:00Z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