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1862" w14:textId="19591D00" w:rsidR="00AE25D9" w:rsidRDefault="001245EA">
      <w:pPr>
        <w:pStyle w:val="Heading1"/>
      </w:pPr>
      <w:r>
        <w:t xml:space="preserve">Mapping of the thermal mechanical properties </w:t>
      </w:r>
      <w:r w:rsidR="00436BF0">
        <w:t>o</w:t>
      </w:r>
      <w:r>
        <w:t xml:space="preserve">f </w:t>
      </w:r>
      <w:proofErr w:type="spellStart"/>
      <w:r>
        <w:t>dicyanometallates</w:t>
      </w:r>
      <w:proofErr w:type="spellEnd"/>
      <w:r w:rsidR="00000000">
        <w:t xml:space="preserve"> </w:t>
      </w:r>
    </w:p>
    <w:p w14:paraId="6B243F1E" w14:textId="06300868" w:rsidR="00AE25D9" w:rsidRDefault="001245EA">
      <w:pPr>
        <w:pStyle w:val="Heading2"/>
      </w:pPr>
      <w:r>
        <w:t>A</w:t>
      </w:r>
      <w:r w:rsidR="00000000">
        <w:t xml:space="preserve">. </w:t>
      </w:r>
      <w:r>
        <w:t>J. Corkett</w:t>
      </w:r>
      <w:r w:rsidR="00000000">
        <w:rPr>
          <w:vertAlign w:val="superscript"/>
        </w:rPr>
        <w:t>1</w:t>
      </w:r>
      <w:r w:rsidR="00000000">
        <w:t xml:space="preserve">, </w:t>
      </w:r>
      <w:r>
        <w:t>A</w:t>
      </w:r>
      <w:r w:rsidR="00000000">
        <w:t xml:space="preserve">. </w:t>
      </w:r>
      <w:r>
        <w:t>Grzechnik</w:t>
      </w:r>
      <w:r w:rsidR="00000000">
        <w:t>,</w:t>
      </w:r>
      <w:r>
        <w:rPr>
          <w:vertAlign w:val="superscript"/>
        </w:rPr>
        <w:t>1</w:t>
      </w:r>
      <w:r w:rsidR="00000000">
        <w:t xml:space="preserve"> </w:t>
      </w:r>
      <w:r>
        <w:t>K</w:t>
      </w:r>
      <w:r w:rsidR="00000000">
        <w:t xml:space="preserve">. </w:t>
      </w:r>
      <w:r>
        <w:t>Friese</w:t>
      </w:r>
      <w:r>
        <w:rPr>
          <w:vertAlign w:val="superscript"/>
        </w:rPr>
        <w:t>1,2</w:t>
      </w:r>
    </w:p>
    <w:p w14:paraId="03E742A6" w14:textId="67D07121" w:rsidR="001245EA" w:rsidRDefault="00000000">
      <w:pPr>
        <w:pStyle w:val="Heading3"/>
      </w:pPr>
      <w:r>
        <w:rPr>
          <w:vertAlign w:val="superscript"/>
        </w:rPr>
        <w:t>1</w:t>
      </w:r>
      <w:r w:rsidR="001245EA">
        <w:t xml:space="preserve">Jülich Centre for Neutron Science-2 (JCNS-2) </w:t>
      </w:r>
      <w:proofErr w:type="spellStart"/>
      <w:r w:rsidR="001245EA">
        <w:t>Forschungzentrum</w:t>
      </w:r>
      <w:proofErr w:type="spellEnd"/>
      <w:r w:rsidR="001245EA">
        <w:t xml:space="preserve"> Jülich GmbH, 52425 Jülich, Germany</w:t>
      </w:r>
      <w:r>
        <w:t xml:space="preserve"> </w:t>
      </w:r>
    </w:p>
    <w:p w14:paraId="689641BB" w14:textId="68DC227E" w:rsidR="00AE25D9" w:rsidRDefault="00000000">
      <w:pPr>
        <w:pStyle w:val="Heading3"/>
      </w:pPr>
      <w:r>
        <w:rPr>
          <w:vertAlign w:val="superscript"/>
        </w:rPr>
        <w:t>2</w:t>
      </w:r>
      <w:r w:rsidR="001245EA">
        <w:t>Institute of Crystallography, RWTH Aachen University, 52066 Aachen, Germany</w:t>
      </w:r>
    </w:p>
    <w:p w14:paraId="738343B4" w14:textId="37398DB5" w:rsidR="005B35C8" w:rsidRPr="008717B8" w:rsidRDefault="00000000" w:rsidP="008717B8">
      <w:pPr>
        <w:pStyle w:val="Heading3"/>
        <w:rPr>
          <w:sz w:val="18"/>
          <w:szCs w:val="18"/>
        </w:rPr>
      </w:pPr>
      <w:r>
        <w:t>a</w:t>
      </w:r>
      <w:r w:rsidR="001245EA">
        <w:t>.corkett@fz-juelich.de</w:t>
      </w:r>
    </w:p>
    <w:p w14:paraId="0B9B7ED8" w14:textId="77777777" w:rsidR="00611E20" w:rsidRDefault="00611E20" w:rsidP="00800FE0"/>
    <w:p w14:paraId="69B4644E" w14:textId="300D6533" w:rsidR="005B35C8" w:rsidRPr="00800FE0" w:rsidRDefault="00611E20" w:rsidP="00800FE0">
      <w:r>
        <w:t>C</w:t>
      </w:r>
      <w:r w:rsidRPr="00611E20">
        <w:t>yanide-based molecular framework materials</w:t>
      </w:r>
      <w:r w:rsidR="00211422">
        <w:t>,</w:t>
      </w:r>
      <w:r>
        <w:t xml:space="preserve"> featuring corner linked metal </w:t>
      </w:r>
      <w:r w:rsidR="0067797C">
        <w:t>centred-</w:t>
      </w:r>
      <w:proofErr w:type="spellStart"/>
      <w:r w:rsidR="0067797C">
        <w:t>p</w:t>
      </w:r>
      <w:r>
        <w:t>olyhedra</w:t>
      </w:r>
      <w:proofErr w:type="spellEnd"/>
      <w:r w:rsidR="00211422">
        <w:t>,</w:t>
      </w:r>
      <w:r>
        <w:t xml:space="preserve"> frequently display negative thermal expansion (NTE) due to the </w:t>
      </w:r>
      <w:r w:rsidRPr="00611E20">
        <w:t>transverse vibration</w:t>
      </w:r>
      <w:r>
        <w:t>al motion</w:t>
      </w:r>
      <w:r w:rsidRPr="00611E20">
        <w:t xml:space="preserve"> of the cyanide bridge</w:t>
      </w:r>
      <w:r>
        <w:t>,</w:t>
      </w:r>
      <w:r>
        <w:t xml:space="preserve"> as</w:t>
      </w:r>
      <w:r>
        <w:t xml:space="preserve"> seen in</w:t>
      </w:r>
      <w:r>
        <w:t xml:space="preserve"> Cd(CN)</w:t>
      </w:r>
      <w:r w:rsidRPr="00611E20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(</w:t>
      </w:r>
      <w:r w:rsidRPr="005B35C8">
        <w:t>α = −33.5 MK</w:t>
      </w:r>
      <w:r w:rsidRPr="00611E20">
        <w:rPr>
          <w:vertAlign w:val="superscript"/>
        </w:rPr>
        <w:t>−1</w:t>
      </w:r>
      <w:r>
        <w:t>) and Prussian blues (</w:t>
      </w:r>
      <w:proofErr w:type="spellStart"/>
      <w:r w:rsidRPr="005B35C8">
        <w:t>CdPt</w:t>
      </w:r>
      <w:proofErr w:type="spellEnd"/>
      <w:r w:rsidRPr="005B35C8">
        <w:t>(CN)</w:t>
      </w:r>
      <w:r w:rsidRPr="00126069">
        <w:rPr>
          <w:vertAlign w:val="subscript"/>
        </w:rPr>
        <w:t>6</w:t>
      </w:r>
      <w:r w:rsidRPr="005B35C8">
        <w:t xml:space="preserve">, α </w:t>
      </w:r>
      <w:r>
        <w:t xml:space="preserve">= </w:t>
      </w:r>
      <w:r w:rsidRPr="00611E20">
        <w:t>−10.02(11)</w:t>
      </w:r>
      <w:r>
        <w:t xml:space="preserve"> </w:t>
      </w:r>
      <w:r w:rsidRPr="005B35C8">
        <w:t>MK</w:t>
      </w:r>
      <w:r w:rsidRPr="00611E20">
        <w:rPr>
          <w:vertAlign w:val="superscript"/>
        </w:rPr>
        <w:t>−1</w:t>
      </w:r>
      <w:r>
        <w:t>)</w:t>
      </w:r>
      <w:r>
        <w:t xml:space="preserve">.[1] </w:t>
      </w:r>
      <w:r w:rsidR="00126069">
        <w:t xml:space="preserve">Moreover, </w:t>
      </w:r>
      <w:r w:rsidR="00126069">
        <w:rPr>
          <w:lang w:val="en-AU"/>
        </w:rPr>
        <w:t>i</w:t>
      </w:r>
      <w:r w:rsidR="00800FE0" w:rsidRPr="00800FE0">
        <w:rPr>
          <w:lang w:val="en-AU"/>
        </w:rPr>
        <w:t>t has been shown that by replacing diatomic cyanide bridges (M</w:t>
      </w:r>
      <w:r w:rsidR="00800FE0" w:rsidRPr="00800FE0">
        <w:t>−</w:t>
      </w:r>
      <w:r w:rsidR="00800FE0" w:rsidRPr="00800FE0">
        <w:rPr>
          <w:lang w:val="en-AU"/>
        </w:rPr>
        <w:t>CN</w:t>
      </w:r>
      <w:r w:rsidR="00800FE0" w:rsidRPr="00800FE0">
        <w:t>−</w:t>
      </w:r>
      <w:r w:rsidR="00800FE0" w:rsidRPr="00800FE0">
        <w:rPr>
          <w:lang w:val="en-AU"/>
        </w:rPr>
        <w:t xml:space="preserve">M) with </w:t>
      </w:r>
      <w:proofErr w:type="spellStart"/>
      <w:r w:rsidR="00800FE0" w:rsidRPr="00800FE0">
        <w:rPr>
          <w:lang w:val="en-AU"/>
        </w:rPr>
        <w:t>dicyanometallate</w:t>
      </w:r>
      <w:proofErr w:type="spellEnd"/>
      <w:r w:rsidR="00800FE0" w:rsidRPr="00800FE0">
        <w:rPr>
          <w:lang w:val="en-AU"/>
        </w:rPr>
        <w:t xml:space="preserve"> linkers (M</w:t>
      </w:r>
      <w:r w:rsidR="00800FE0" w:rsidRPr="00800FE0">
        <w:t>−</w:t>
      </w:r>
      <w:r w:rsidR="00800FE0" w:rsidRPr="00800FE0">
        <w:rPr>
          <w:lang w:val="en-AU"/>
        </w:rPr>
        <w:t>CN</w:t>
      </w:r>
      <w:r w:rsidR="00800FE0" w:rsidRPr="00800FE0">
        <w:t>−</w:t>
      </w:r>
      <w:r w:rsidR="00800FE0" w:rsidRPr="00800FE0">
        <w:rPr>
          <w:lang w:val="en-AU"/>
        </w:rPr>
        <w:t>A</w:t>
      </w:r>
      <w:r w:rsidR="00800FE0" w:rsidRPr="00800FE0">
        <w:t>−</w:t>
      </w:r>
      <w:r w:rsidR="00800FE0" w:rsidRPr="00800FE0">
        <w:rPr>
          <w:lang w:val="en-AU"/>
        </w:rPr>
        <w:t>NC</w:t>
      </w:r>
      <w:r w:rsidR="00800FE0" w:rsidRPr="00800FE0">
        <w:t>−</w:t>
      </w:r>
      <w:r w:rsidR="00800FE0" w:rsidRPr="00800FE0">
        <w:rPr>
          <w:lang w:val="en-AU"/>
        </w:rPr>
        <w:t>M, where A = Cu, Ag, Au) one can generate highly flexible interpenetrated networks of corner linked tetrahedra (M</w:t>
      </w:r>
      <w:r w:rsidR="00800FE0" w:rsidRPr="00800FE0">
        <w:rPr>
          <w:vertAlign w:val="superscript"/>
          <w:lang w:val="en-AU"/>
        </w:rPr>
        <w:t>II</w:t>
      </w:r>
      <w:r w:rsidR="00800FE0" w:rsidRPr="00800FE0">
        <w:rPr>
          <w:lang w:val="en-AU"/>
        </w:rPr>
        <w:t>(A(CN)</w:t>
      </w:r>
      <w:r w:rsidR="00800FE0" w:rsidRPr="00800FE0">
        <w:rPr>
          <w:vertAlign w:val="subscript"/>
          <w:lang w:val="en-AU"/>
        </w:rPr>
        <w:t>2</w:t>
      </w:r>
      <w:r w:rsidR="00800FE0" w:rsidRPr="00800FE0">
        <w:rPr>
          <w:lang w:val="en-AU"/>
        </w:rPr>
        <w:t>)</w:t>
      </w:r>
      <w:r w:rsidR="00800FE0" w:rsidRPr="00800FE0">
        <w:rPr>
          <w:vertAlign w:val="subscript"/>
          <w:lang w:val="en-AU"/>
        </w:rPr>
        <w:t>2</w:t>
      </w:r>
      <w:r w:rsidR="00800FE0" w:rsidRPr="00800FE0">
        <w:rPr>
          <w:lang w:val="en-AU"/>
        </w:rPr>
        <w:t>) and octahedra (A</w:t>
      </w:r>
      <w:r w:rsidR="00800FE0" w:rsidRPr="00800FE0">
        <w:rPr>
          <w:vertAlign w:val="subscript"/>
          <w:lang w:val="en-AU"/>
        </w:rPr>
        <w:t>3</w:t>
      </w:r>
      <w:r w:rsidR="00800FE0" w:rsidRPr="00800FE0">
        <w:rPr>
          <w:lang w:val="en-AU"/>
        </w:rPr>
        <w:t>(M(CN)</w:t>
      </w:r>
      <w:r w:rsidR="00800FE0" w:rsidRPr="00800FE0">
        <w:rPr>
          <w:vertAlign w:val="subscript"/>
          <w:lang w:val="en-AU"/>
        </w:rPr>
        <w:t>6</w:t>
      </w:r>
      <w:r w:rsidR="00800FE0" w:rsidRPr="00800FE0">
        <w:rPr>
          <w:lang w:val="en-AU"/>
        </w:rPr>
        <w:t xml:space="preserve">). Since </w:t>
      </w:r>
      <w:proofErr w:type="gramStart"/>
      <w:r w:rsidR="00800FE0" w:rsidRPr="00800FE0">
        <w:rPr>
          <w:lang w:val="en-AU"/>
        </w:rPr>
        <w:t>both of these</w:t>
      </w:r>
      <w:proofErr w:type="gramEnd"/>
      <w:r w:rsidR="00800FE0" w:rsidRPr="00800FE0">
        <w:rPr>
          <w:lang w:val="en-AU"/>
        </w:rPr>
        <w:t xml:space="preserve"> families adopt hexagonal structures, the thermal expansion in these systems is anisotropic. Ag</w:t>
      </w:r>
      <w:r w:rsidR="00800FE0" w:rsidRPr="00800FE0">
        <w:rPr>
          <w:vertAlign w:val="subscript"/>
          <w:lang w:val="en-AU"/>
        </w:rPr>
        <w:t>3</w:t>
      </w:r>
      <w:r w:rsidR="00800FE0" w:rsidRPr="00800FE0">
        <w:rPr>
          <w:lang w:val="en-AU"/>
        </w:rPr>
        <w:t>(Co(CN)</w:t>
      </w:r>
      <w:r w:rsidR="00800FE0" w:rsidRPr="00800FE0">
        <w:rPr>
          <w:vertAlign w:val="subscript"/>
          <w:lang w:val="en-AU"/>
        </w:rPr>
        <w:t>6</w:t>
      </w:r>
      <w:r w:rsidR="00800FE0" w:rsidRPr="00800FE0">
        <w:rPr>
          <w:lang w:val="en-AU"/>
        </w:rPr>
        <w:t xml:space="preserve">) exhibits positive thermal expansion along </w:t>
      </w:r>
      <w:r w:rsidR="00800FE0" w:rsidRPr="00800FE0">
        <w:rPr>
          <w:i/>
          <w:iCs/>
          <w:lang w:val="en-AU"/>
        </w:rPr>
        <w:t>a</w:t>
      </w:r>
      <w:r w:rsidR="00800FE0" w:rsidRPr="00800FE0">
        <w:rPr>
          <w:lang w:val="en-AU"/>
        </w:rPr>
        <w:t xml:space="preserve"> (α</w:t>
      </w:r>
      <w:r w:rsidR="00800FE0" w:rsidRPr="00800FE0">
        <w:rPr>
          <w:vertAlign w:val="subscript"/>
          <w:lang w:val="en-AU"/>
        </w:rPr>
        <w:t>a</w:t>
      </w:r>
      <w:r w:rsidR="00800FE0" w:rsidRPr="00800FE0">
        <w:rPr>
          <w:lang w:val="en-AU"/>
        </w:rPr>
        <w:t xml:space="preserve"> = +144 MK</w:t>
      </w:r>
      <w:r w:rsidR="00800FE0" w:rsidRPr="00800FE0">
        <w:rPr>
          <w:vertAlign w:val="superscript"/>
        </w:rPr>
        <w:t>−</w:t>
      </w:r>
      <w:r w:rsidR="00800FE0" w:rsidRPr="00800FE0">
        <w:rPr>
          <w:vertAlign w:val="superscript"/>
          <w:lang w:val="en-AU"/>
        </w:rPr>
        <w:t>1</w:t>
      </w:r>
      <w:r w:rsidR="00800FE0" w:rsidRPr="00800FE0">
        <w:rPr>
          <w:lang w:val="en-AU"/>
        </w:rPr>
        <w:t xml:space="preserve">) and negative thermal expansion along </w:t>
      </w:r>
      <w:r w:rsidR="00800FE0" w:rsidRPr="00800FE0">
        <w:rPr>
          <w:i/>
          <w:iCs/>
          <w:lang w:val="en-AU"/>
        </w:rPr>
        <w:t>c</w:t>
      </w:r>
      <w:r w:rsidR="00800FE0" w:rsidRPr="00800FE0">
        <w:rPr>
          <w:lang w:val="en-AU"/>
        </w:rPr>
        <w:t xml:space="preserve"> (α</w:t>
      </w:r>
      <w:r w:rsidR="00800FE0" w:rsidRPr="00800FE0">
        <w:rPr>
          <w:vertAlign w:val="subscript"/>
          <w:lang w:val="en-AU"/>
        </w:rPr>
        <w:t>c</w:t>
      </w:r>
      <w:r w:rsidR="00800FE0" w:rsidRPr="00800FE0">
        <w:rPr>
          <w:lang w:val="en-AU"/>
        </w:rPr>
        <w:t xml:space="preserve"> = </w:t>
      </w:r>
      <w:r w:rsidR="00800FE0" w:rsidRPr="00800FE0">
        <w:t>−</w:t>
      </w:r>
      <w:r w:rsidR="00800FE0" w:rsidRPr="00800FE0">
        <w:rPr>
          <w:lang w:val="en-AU"/>
        </w:rPr>
        <w:t>126 MK</w:t>
      </w:r>
      <w:r w:rsidR="00800FE0" w:rsidRPr="00800FE0">
        <w:rPr>
          <w:vertAlign w:val="superscript"/>
        </w:rPr>
        <w:t>−</w:t>
      </w:r>
      <w:r w:rsidR="00800FE0" w:rsidRPr="00800FE0">
        <w:rPr>
          <w:vertAlign w:val="superscript"/>
          <w:lang w:val="en-AU"/>
        </w:rPr>
        <w:t>1</w:t>
      </w:r>
      <w:r w:rsidR="00800FE0" w:rsidRPr="00800FE0">
        <w:rPr>
          <w:lang w:val="en-AU"/>
        </w:rPr>
        <w:t>) that is an order of magnitude greater than in other crystalline materials.[2] The origin of this ‘colossal’ response</w:t>
      </w:r>
      <w:r w:rsidR="00211422">
        <w:rPr>
          <w:lang w:val="en-AU"/>
        </w:rPr>
        <w:t xml:space="preserve"> </w:t>
      </w:r>
      <w:r w:rsidR="00211422" w:rsidRPr="00800FE0">
        <w:rPr>
          <w:lang w:val="en-AU"/>
        </w:rPr>
        <w:t>(α ≥ 100 MK</w:t>
      </w:r>
      <w:r w:rsidR="00211422" w:rsidRPr="00800FE0">
        <w:rPr>
          <w:vertAlign w:val="superscript"/>
        </w:rPr>
        <w:t>−</w:t>
      </w:r>
      <w:r w:rsidR="00211422" w:rsidRPr="00800FE0">
        <w:rPr>
          <w:vertAlign w:val="superscript"/>
          <w:lang w:val="en-AU"/>
        </w:rPr>
        <w:t>1</w:t>
      </w:r>
      <w:r w:rsidR="00211422" w:rsidRPr="00800FE0">
        <w:rPr>
          <w:lang w:val="en-AU"/>
        </w:rPr>
        <w:t>)</w:t>
      </w:r>
      <w:r w:rsidR="00800FE0" w:rsidRPr="00800FE0">
        <w:rPr>
          <w:lang w:val="en-AU"/>
        </w:rPr>
        <w:t xml:space="preserve"> </w:t>
      </w:r>
      <w:r w:rsidR="0067797C">
        <w:rPr>
          <w:lang w:val="en-AU"/>
        </w:rPr>
        <w:t xml:space="preserve">arises directly from the </w:t>
      </w:r>
      <w:r w:rsidR="00800FE0" w:rsidRPr="00800FE0">
        <w:rPr>
          <w:lang w:val="en-AU"/>
        </w:rPr>
        <w:t>network topology which behaves like a 3D ‘garden fence’, that can expand in one direction whilst contracting in another with virtually no energy cost.</w:t>
      </w:r>
    </w:p>
    <w:p w14:paraId="574490E4" w14:textId="73FB8F10" w:rsidR="00126069" w:rsidRDefault="008717B8">
      <w:pPr>
        <w:rPr>
          <w:lang w:val="en-AU"/>
        </w:rPr>
      </w:pPr>
      <w:r>
        <w:t xml:space="preserve">Here we </w:t>
      </w:r>
      <w:r w:rsidR="00611E20">
        <w:t>examine the</w:t>
      </w:r>
      <w:r w:rsidR="00800FE0" w:rsidRPr="00800FE0">
        <w:t xml:space="preserve"> LnA</w:t>
      </w:r>
      <w:r w:rsidR="00800FE0" w:rsidRPr="00800FE0">
        <w:rPr>
          <w:vertAlign w:val="subscript"/>
        </w:rPr>
        <w:t>3</w:t>
      </w:r>
      <w:r w:rsidR="00800FE0" w:rsidRPr="00800FE0">
        <w:t>(CN)</w:t>
      </w:r>
      <w:r w:rsidR="00800FE0" w:rsidRPr="00800FE0">
        <w:rPr>
          <w:vertAlign w:val="subscript"/>
        </w:rPr>
        <w:t>6</w:t>
      </w:r>
      <w:r w:rsidR="00800FE0" w:rsidRPr="00800FE0">
        <w:t>.3H</w:t>
      </w:r>
      <w:r w:rsidR="00800FE0" w:rsidRPr="00800FE0">
        <w:rPr>
          <w:vertAlign w:val="subscript"/>
        </w:rPr>
        <w:t>2</w:t>
      </w:r>
      <w:r w:rsidR="00800FE0" w:rsidRPr="00800FE0">
        <w:t>O family</w:t>
      </w:r>
      <w:r w:rsidR="0067797C">
        <w:t>,</w:t>
      </w:r>
      <w:r w:rsidR="00800FE0" w:rsidRPr="00800FE0">
        <w:t xml:space="preserve"> </w:t>
      </w:r>
      <w:r w:rsidR="00611E20">
        <w:t>which</w:t>
      </w:r>
      <w:r w:rsidR="00800FE0" w:rsidRPr="00800FE0">
        <w:t xml:space="preserve"> share the same linear </w:t>
      </w:r>
      <w:proofErr w:type="spellStart"/>
      <w:r w:rsidR="00800FE0" w:rsidRPr="00800FE0">
        <w:t>dicyanometallate</w:t>
      </w:r>
      <w:proofErr w:type="spellEnd"/>
      <w:r w:rsidR="00800FE0" w:rsidRPr="00800FE0">
        <w:t xml:space="preserve"> structural motif</w:t>
      </w:r>
      <w:r w:rsidR="0067797C">
        <w:t>,</w:t>
      </w:r>
      <w:r w:rsidR="00800FE0" w:rsidRPr="00800FE0">
        <w:t xml:space="preserve"> and crystallize in hexagonal structures (</w:t>
      </w:r>
      <w:r w:rsidR="00800FE0" w:rsidRPr="00800FE0">
        <w:rPr>
          <w:i/>
          <w:iCs/>
        </w:rPr>
        <w:t>P</w:t>
      </w:r>
      <w:r w:rsidR="00800FE0" w:rsidRPr="00800FE0">
        <w:t>6</w:t>
      </w:r>
      <w:r w:rsidR="00800FE0" w:rsidRPr="00800FE0">
        <w:rPr>
          <w:vertAlign w:val="subscript"/>
        </w:rPr>
        <w:t>3</w:t>
      </w:r>
      <w:r w:rsidR="00800FE0" w:rsidRPr="00800FE0">
        <w:t>/</w:t>
      </w:r>
      <w:r w:rsidR="00800FE0" w:rsidRPr="00800FE0">
        <w:rPr>
          <w:i/>
          <w:iCs/>
        </w:rPr>
        <w:t>mcm</w:t>
      </w:r>
      <w:r w:rsidR="00800FE0" w:rsidRPr="00800FE0">
        <w:t>) featuring H</w:t>
      </w:r>
      <w:r w:rsidR="00800FE0" w:rsidRPr="00800FE0">
        <w:rPr>
          <w:vertAlign w:val="subscript"/>
        </w:rPr>
        <w:t>2</w:t>
      </w:r>
      <w:r w:rsidR="00800FE0" w:rsidRPr="00800FE0">
        <w:t>O face-capped LnN</w:t>
      </w:r>
      <w:r w:rsidR="00800FE0" w:rsidRPr="00800FE0">
        <w:rPr>
          <w:vertAlign w:val="subscript"/>
        </w:rPr>
        <w:t>6</w:t>
      </w:r>
      <w:r w:rsidR="00800FE0" w:rsidRPr="00800FE0">
        <w:t xml:space="preserve"> trigonal prisms that form three identical interpenetrating networks (Figure 1(a)). We have recently shown that it is possible to remove the coordinating water molecules from LaAu</w:t>
      </w:r>
      <w:r w:rsidR="00800FE0" w:rsidRPr="00800FE0">
        <w:rPr>
          <w:vertAlign w:val="subscript"/>
        </w:rPr>
        <w:t>3</w:t>
      </w:r>
      <w:r w:rsidR="00800FE0" w:rsidRPr="00800FE0">
        <w:t>(CN)</w:t>
      </w:r>
      <w:r w:rsidR="00800FE0" w:rsidRPr="00800FE0">
        <w:rPr>
          <w:vertAlign w:val="subscript"/>
        </w:rPr>
        <w:t>6</w:t>
      </w:r>
      <w:r w:rsidR="00800FE0" w:rsidRPr="00800FE0">
        <w:t>.3H</w:t>
      </w:r>
      <w:r w:rsidR="00800FE0" w:rsidRPr="00800FE0">
        <w:rPr>
          <w:vertAlign w:val="subscript"/>
        </w:rPr>
        <w:t>2</w:t>
      </w:r>
      <w:r w:rsidR="00800FE0" w:rsidRPr="00800FE0">
        <w:t>O (</w:t>
      </w:r>
      <w:r w:rsidR="00800FE0" w:rsidRPr="00800FE0">
        <w:rPr>
          <w:i/>
          <w:iCs/>
          <w:lang w:val="en-AU"/>
        </w:rPr>
        <w:t>a</w:t>
      </w:r>
      <w:r w:rsidR="00800FE0" w:rsidRPr="00800FE0">
        <w:rPr>
          <w:lang w:val="en-AU"/>
        </w:rPr>
        <w:t xml:space="preserve"> = 6.6782(5) Å, </w:t>
      </w:r>
      <w:r w:rsidR="00800FE0" w:rsidRPr="00800FE0">
        <w:rPr>
          <w:i/>
          <w:iCs/>
          <w:lang w:val="en-AU"/>
        </w:rPr>
        <w:t>c</w:t>
      </w:r>
      <w:r w:rsidR="00800FE0" w:rsidRPr="00800FE0">
        <w:rPr>
          <w:lang w:val="en-AU"/>
        </w:rPr>
        <w:t xml:space="preserve"> = 18.582(1) Å</w:t>
      </w:r>
      <w:r w:rsidR="00800FE0" w:rsidRPr="00800FE0">
        <w:t>)</w:t>
      </w:r>
      <w:r w:rsidR="00211422">
        <w:t>,</w:t>
      </w:r>
      <w:r w:rsidR="00800FE0" w:rsidRPr="00800FE0">
        <w:t xml:space="preserve"> by thermal treatment under a dynamic vacuum, yielding LaAu</w:t>
      </w:r>
      <w:r w:rsidR="00800FE0" w:rsidRPr="00800FE0">
        <w:rPr>
          <w:vertAlign w:val="subscript"/>
        </w:rPr>
        <w:t>3</w:t>
      </w:r>
      <w:r w:rsidR="00800FE0" w:rsidRPr="00800FE0">
        <w:t>(CN)</w:t>
      </w:r>
      <w:r w:rsidR="00800FE0" w:rsidRPr="00800FE0">
        <w:rPr>
          <w:vertAlign w:val="subscript"/>
        </w:rPr>
        <w:t>6</w:t>
      </w:r>
      <w:r w:rsidR="00800FE0" w:rsidRPr="00800FE0">
        <w:t xml:space="preserve"> (</w:t>
      </w:r>
      <w:r w:rsidR="00800FE0" w:rsidRPr="00800FE0">
        <w:rPr>
          <w:i/>
          <w:iCs/>
          <w:lang w:val="en-AU"/>
        </w:rPr>
        <w:t>a</w:t>
      </w:r>
      <w:r w:rsidR="00800FE0" w:rsidRPr="00800FE0">
        <w:rPr>
          <w:lang w:val="en-AU"/>
        </w:rPr>
        <w:t xml:space="preserve"> = 6.546(1) Å, </w:t>
      </w:r>
      <w:r w:rsidR="00800FE0" w:rsidRPr="00800FE0">
        <w:rPr>
          <w:i/>
          <w:iCs/>
          <w:lang w:val="en-AU"/>
        </w:rPr>
        <w:t>c</w:t>
      </w:r>
      <w:r w:rsidR="00800FE0" w:rsidRPr="00800FE0">
        <w:rPr>
          <w:lang w:val="en-AU"/>
        </w:rPr>
        <w:t xml:space="preserve"> = 17.430(3) Å) (Figure 1(b)).[3]</w:t>
      </w:r>
      <w:r w:rsidR="00126069">
        <w:rPr>
          <w:lang w:val="en-AU"/>
        </w:rPr>
        <w:t xml:space="preserve"> This</w:t>
      </w:r>
      <w:r w:rsidR="0067797C">
        <w:rPr>
          <w:lang w:val="en-AU"/>
        </w:rPr>
        <w:t xml:space="preserve"> </w:t>
      </w:r>
      <w:proofErr w:type="spellStart"/>
      <w:r w:rsidR="0067797C">
        <w:rPr>
          <w:lang w:val="en-AU"/>
        </w:rPr>
        <w:t>desolvation</w:t>
      </w:r>
      <w:proofErr w:type="spellEnd"/>
      <w:r w:rsidR="0067797C">
        <w:rPr>
          <w:lang w:val="en-AU"/>
        </w:rPr>
        <w:t xml:space="preserve"> </w:t>
      </w:r>
      <w:r w:rsidR="00054627">
        <w:rPr>
          <w:lang w:val="en-AU"/>
        </w:rPr>
        <w:t xml:space="preserve">(Figure 1(d)) </w:t>
      </w:r>
      <w:r w:rsidR="0067797C">
        <w:rPr>
          <w:lang w:val="en-AU"/>
        </w:rPr>
        <w:t xml:space="preserve">has a dramatic effect on the thermal expansion coefficients </w:t>
      </w:r>
      <w:r w:rsidR="003C13F8">
        <w:rPr>
          <w:lang w:val="en-AU"/>
        </w:rPr>
        <w:t xml:space="preserve">of these phases </w:t>
      </w:r>
      <w:r w:rsidR="00211422">
        <w:rPr>
          <w:lang w:val="en-AU"/>
        </w:rPr>
        <w:t xml:space="preserve">which go from </w:t>
      </w:r>
      <w:r w:rsidR="00126069" w:rsidRPr="00126069">
        <w:rPr>
          <w:lang w:val="en-AU"/>
        </w:rPr>
        <w:t>α</w:t>
      </w:r>
      <w:r w:rsidR="00126069" w:rsidRPr="0067797C">
        <w:rPr>
          <w:vertAlign w:val="subscript"/>
          <w:lang w:val="en-AU"/>
        </w:rPr>
        <w:t>a</w:t>
      </w:r>
      <w:r w:rsidR="00126069" w:rsidRPr="00126069">
        <w:rPr>
          <w:lang w:val="en-AU"/>
        </w:rPr>
        <w:t xml:space="preserve"> = +105 MK</w:t>
      </w:r>
      <w:r w:rsidR="00126069" w:rsidRPr="0067797C">
        <w:rPr>
          <w:vertAlign w:val="superscript"/>
          <w:lang w:val="en-AU"/>
        </w:rPr>
        <w:t>−1</w:t>
      </w:r>
      <w:r w:rsidR="00126069" w:rsidRPr="00126069">
        <w:rPr>
          <w:lang w:val="en-AU"/>
        </w:rPr>
        <w:t xml:space="preserve"> and α</w:t>
      </w:r>
      <w:r w:rsidR="00126069" w:rsidRPr="0067797C">
        <w:rPr>
          <w:vertAlign w:val="subscript"/>
          <w:lang w:val="en-AU"/>
        </w:rPr>
        <w:t>c</w:t>
      </w:r>
      <w:r w:rsidR="00126069" w:rsidRPr="00126069">
        <w:rPr>
          <w:lang w:val="en-AU"/>
        </w:rPr>
        <w:t xml:space="preserve"> = −37 MK</w:t>
      </w:r>
      <w:r w:rsidR="00126069" w:rsidRPr="0067797C">
        <w:rPr>
          <w:vertAlign w:val="superscript"/>
          <w:lang w:val="en-AU"/>
        </w:rPr>
        <w:t>−1</w:t>
      </w:r>
      <w:r w:rsidR="00126069" w:rsidRPr="0067797C">
        <w:rPr>
          <w:lang w:val="en-AU"/>
        </w:rPr>
        <w:t xml:space="preserve"> </w:t>
      </w:r>
      <w:r w:rsidR="00211422">
        <w:rPr>
          <w:lang w:val="en-AU"/>
        </w:rPr>
        <w:t xml:space="preserve">in </w:t>
      </w:r>
      <w:r w:rsidR="00211422" w:rsidRPr="00126069">
        <w:rPr>
          <w:lang w:val="en-AU"/>
        </w:rPr>
        <w:t>LaAu</w:t>
      </w:r>
      <w:r w:rsidR="00211422" w:rsidRPr="0067797C">
        <w:rPr>
          <w:vertAlign w:val="subscript"/>
          <w:lang w:val="en-AU"/>
        </w:rPr>
        <w:t>3</w:t>
      </w:r>
      <w:r w:rsidR="00211422" w:rsidRPr="00126069">
        <w:rPr>
          <w:lang w:val="en-AU"/>
        </w:rPr>
        <w:t>(CN)</w:t>
      </w:r>
      <w:r w:rsidR="00211422" w:rsidRPr="0067797C">
        <w:rPr>
          <w:vertAlign w:val="subscript"/>
          <w:lang w:val="en-AU"/>
        </w:rPr>
        <w:t>6</w:t>
      </w:r>
      <w:r w:rsidR="00211422" w:rsidRPr="00126069">
        <w:rPr>
          <w:lang w:val="en-AU"/>
        </w:rPr>
        <w:t>.3H</w:t>
      </w:r>
      <w:r w:rsidR="00211422" w:rsidRPr="0067797C">
        <w:rPr>
          <w:vertAlign w:val="subscript"/>
          <w:lang w:val="en-AU"/>
        </w:rPr>
        <w:t>2</w:t>
      </w:r>
      <w:r w:rsidR="00211422" w:rsidRPr="00126069">
        <w:rPr>
          <w:lang w:val="en-AU"/>
        </w:rPr>
        <w:t xml:space="preserve">O </w:t>
      </w:r>
      <w:r w:rsidR="00211422">
        <w:rPr>
          <w:lang w:val="en-AU"/>
        </w:rPr>
        <w:t xml:space="preserve">to </w:t>
      </w:r>
      <w:r w:rsidR="00126069" w:rsidRPr="00126069">
        <w:rPr>
          <w:lang w:val="en-AU"/>
        </w:rPr>
        <w:t>α</w:t>
      </w:r>
      <w:r w:rsidR="00126069" w:rsidRPr="0067797C">
        <w:rPr>
          <w:vertAlign w:val="subscript"/>
          <w:lang w:val="en-AU"/>
        </w:rPr>
        <w:t>a</w:t>
      </w:r>
      <w:r w:rsidR="00126069" w:rsidRPr="00126069">
        <w:rPr>
          <w:lang w:val="en-AU"/>
        </w:rPr>
        <w:t xml:space="preserve"> = +120 MK</w:t>
      </w:r>
      <w:r w:rsidR="00126069" w:rsidRPr="0067797C">
        <w:rPr>
          <w:vertAlign w:val="superscript"/>
          <w:lang w:val="en-AU"/>
        </w:rPr>
        <w:t>−1</w:t>
      </w:r>
      <w:r w:rsidR="00126069" w:rsidRPr="00126069">
        <w:rPr>
          <w:lang w:val="en-AU"/>
        </w:rPr>
        <w:t xml:space="preserve"> and α</w:t>
      </w:r>
      <w:r w:rsidR="00126069" w:rsidRPr="0067797C">
        <w:rPr>
          <w:vertAlign w:val="subscript"/>
          <w:lang w:val="en-AU"/>
        </w:rPr>
        <w:t>c</w:t>
      </w:r>
      <w:r w:rsidR="00126069" w:rsidRPr="00126069">
        <w:rPr>
          <w:lang w:val="en-AU"/>
        </w:rPr>
        <w:t xml:space="preserve"> = −91 MK</w:t>
      </w:r>
      <w:r w:rsidR="00126069" w:rsidRPr="0067797C">
        <w:rPr>
          <w:vertAlign w:val="superscript"/>
          <w:lang w:val="en-AU"/>
        </w:rPr>
        <w:t>−1</w:t>
      </w:r>
      <w:r w:rsidR="00211422">
        <w:rPr>
          <w:lang w:val="en-AU"/>
        </w:rPr>
        <w:t xml:space="preserve"> in </w:t>
      </w:r>
      <w:r w:rsidR="00211422" w:rsidRPr="00126069">
        <w:rPr>
          <w:lang w:val="en-AU"/>
        </w:rPr>
        <w:t>LaAu</w:t>
      </w:r>
      <w:r w:rsidR="00211422" w:rsidRPr="0067797C">
        <w:rPr>
          <w:vertAlign w:val="subscript"/>
          <w:lang w:val="en-AU"/>
        </w:rPr>
        <w:t>3</w:t>
      </w:r>
      <w:r w:rsidR="00211422" w:rsidRPr="00126069">
        <w:rPr>
          <w:lang w:val="en-AU"/>
        </w:rPr>
        <w:t>(CN)</w:t>
      </w:r>
      <w:r w:rsidR="00211422" w:rsidRPr="0067797C">
        <w:rPr>
          <w:vertAlign w:val="subscript"/>
          <w:lang w:val="en-AU"/>
        </w:rPr>
        <w:t>6</w:t>
      </w:r>
      <w:r w:rsidR="0067797C">
        <w:rPr>
          <w:lang w:val="en-AU"/>
        </w:rPr>
        <w:t xml:space="preserve">. We then go on to investigate the effect of </w:t>
      </w:r>
      <w:proofErr w:type="spellStart"/>
      <w:r w:rsidR="0067797C">
        <w:rPr>
          <w:lang w:val="en-AU"/>
        </w:rPr>
        <w:t>metallophilicity</w:t>
      </w:r>
      <w:proofErr w:type="spellEnd"/>
      <w:r w:rsidR="0067797C">
        <w:rPr>
          <w:lang w:val="en-AU"/>
        </w:rPr>
        <w:t xml:space="preserve"> on this family via </w:t>
      </w:r>
      <w:r w:rsidR="003C13F8">
        <w:rPr>
          <w:lang w:val="en-AU"/>
        </w:rPr>
        <w:t>A</w:t>
      </w:r>
      <w:r w:rsidR="003C13F8">
        <w:rPr>
          <w:lang w:val="en-AU"/>
        </w:rPr>
        <w:t>u/Ag</w:t>
      </w:r>
      <w:r w:rsidR="00211422">
        <w:rPr>
          <w:lang w:val="en-AU"/>
        </w:rPr>
        <w:t xml:space="preserve"> </w:t>
      </w:r>
      <w:r w:rsidR="003C13F8">
        <w:rPr>
          <w:lang w:val="en-AU"/>
        </w:rPr>
        <w:t xml:space="preserve">substitution on the </w:t>
      </w:r>
      <w:r w:rsidR="00211422">
        <w:rPr>
          <w:lang w:val="en-AU"/>
        </w:rPr>
        <w:t>Kagome lattice (Figure 3(c))</w:t>
      </w:r>
      <w:r w:rsidR="0067797C">
        <w:rPr>
          <w:lang w:val="en-AU"/>
        </w:rPr>
        <w:t xml:space="preserve"> </w:t>
      </w:r>
      <w:proofErr w:type="gramStart"/>
      <w:r w:rsidR="0067797C">
        <w:rPr>
          <w:lang w:val="en-AU"/>
        </w:rPr>
        <w:t xml:space="preserve">and </w:t>
      </w:r>
      <w:r w:rsidR="003C13F8">
        <w:rPr>
          <w:lang w:val="en-AU"/>
        </w:rPr>
        <w:t>also</w:t>
      </w:r>
      <w:proofErr w:type="gramEnd"/>
      <w:r w:rsidR="003C13F8">
        <w:rPr>
          <w:lang w:val="en-AU"/>
        </w:rPr>
        <w:t xml:space="preserve"> </w:t>
      </w:r>
      <w:r w:rsidR="0067797C">
        <w:rPr>
          <w:lang w:val="en-AU"/>
        </w:rPr>
        <w:t>explore the compressibility of these phases</w:t>
      </w:r>
      <w:r w:rsidR="00211422">
        <w:rPr>
          <w:lang w:val="en-AU"/>
        </w:rPr>
        <w:t>.</w:t>
      </w:r>
      <w:r w:rsidR="0067797C">
        <w:rPr>
          <w:lang w:val="en-AU"/>
        </w:rPr>
        <w:t xml:space="preserve"> </w:t>
      </w:r>
    </w:p>
    <w:p w14:paraId="5CFF39FC" w14:textId="77777777" w:rsidR="00A516C2" w:rsidRPr="00800FE0" w:rsidRDefault="00A516C2">
      <w:pPr>
        <w:rPr>
          <w:lang w:val="en-AU"/>
        </w:rPr>
      </w:pPr>
    </w:p>
    <w:p w14:paraId="571BBCF7" w14:textId="51D7E905" w:rsidR="00AE25D9" w:rsidRDefault="00365D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C9C46" wp14:editId="1B2768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239227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2E64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B9F046" wp14:editId="6313495E">
            <wp:extent cx="6400800" cy="223710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A4B0A" w14:textId="0DEDF801" w:rsidR="00AE25D9" w:rsidRDefault="00000000" w:rsidP="005B35C8">
      <w:pPr>
        <w:pStyle w:val="Heading6"/>
      </w:pPr>
      <w:r>
        <w:rPr>
          <w:b/>
        </w:rPr>
        <w:t>Figure 1</w:t>
      </w:r>
      <w:r>
        <w:t xml:space="preserve">. </w:t>
      </w:r>
      <w:r w:rsidR="005B35C8" w:rsidRPr="005B35C8">
        <w:t>Crystal structure of LaAu</w:t>
      </w:r>
      <w:r w:rsidR="005B35C8" w:rsidRPr="005B35C8">
        <w:rPr>
          <w:vertAlign w:val="subscript"/>
        </w:rPr>
        <w:t>3</w:t>
      </w:r>
      <w:r w:rsidR="005B35C8" w:rsidRPr="005B35C8">
        <w:t>(CN)</w:t>
      </w:r>
      <w:r w:rsidR="005B35C8" w:rsidRPr="005B35C8">
        <w:rPr>
          <w:vertAlign w:val="subscript"/>
        </w:rPr>
        <w:t>6</w:t>
      </w:r>
      <w:r w:rsidR="005B35C8" w:rsidRPr="005B35C8">
        <w:t>.3H</w:t>
      </w:r>
      <w:r w:rsidR="005B35C8" w:rsidRPr="005B35C8">
        <w:rPr>
          <w:vertAlign w:val="subscript"/>
        </w:rPr>
        <w:t>2</w:t>
      </w:r>
      <w:r w:rsidR="005B35C8" w:rsidRPr="005B35C8">
        <w:t>O (a) and LaAu</w:t>
      </w:r>
      <w:r w:rsidR="005B35C8" w:rsidRPr="005B35C8">
        <w:rPr>
          <w:vertAlign w:val="subscript"/>
        </w:rPr>
        <w:t>3</w:t>
      </w:r>
      <w:r w:rsidR="005B35C8" w:rsidRPr="005B35C8">
        <w:t>(CN)</w:t>
      </w:r>
      <w:r w:rsidR="005B35C8" w:rsidRPr="005B35C8">
        <w:rPr>
          <w:vertAlign w:val="subscript"/>
        </w:rPr>
        <w:t>6</w:t>
      </w:r>
      <w:r w:rsidR="005B35C8" w:rsidRPr="005B35C8">
        <w:t xml:space="preserve"> (b). </w:t>
      </w:r>
      <w:r w:rsidR="009D5BC6" w:rsidRPr="005B35C8">
        <w:t xml:space="preserve">Au/Ag Kagome lattice </w:t>
      </w:r>
      <w:r w:rsidR="009D5BC6">
        <w:t xml:space="preserve">(c). </w:t>
      </w:r>
      <w:r w:rsidR="005B35C8" w:rsidRPr="005B35C8">
        <w:t xml:space="preserve">VT PXRD data collected on </w:t>
      </w:r>
      <w:r w:rsidR="003C13F8">
        <w:t>La</w:t>
      </w:r>
      <w:r w:rsidR="005B35C8" w:rsidRPr="005B35C8">
        <w:t>Au</w:t>
      </w:r>
      <w:r w:rsidR="005B35C8" w:rsidRPr="005B35C8">
        <w:rPr>
          <w:vertAlign w:val="subscript"/>
        </w:rPr>
        <w:t>3</w:t>
      </w:r>
      <w:r w:rsidR="005B35C8" w:rsidRPr="005B35C8">
        <w:t>(CN)</w:t>
      </w:r>
      <w:r w:rsidR="005B35C8" w:rsidRPr="005B35C8">
        <w:rPr>
          <w:vertAlign w:val="subscript"/>
        </w:rPr>
        <w:t>6</w:t>
      </w:r>
      <w:r w:rsidR="005B35C8" w:rsidRPr="005B35C8">
        <w:t>.3H</w:t>
      </w:r>
      <w:r w:rsidR="005B35C8" w:rsidRPr="005B35C8">
        <w:rPr>
          <w:vertAlign w:val="subscript"/>
        </w:rPr>
        <w:t>2</w:t>
      </w:r>
      <w:r w:rsidR="005B35C8" w:rsidRPr="005B35C8">
        <w:t xml:space="preserve">O </w:t>
      </w:r>
      <w:r w:rsidR="009D5BC6">
        <w:t xml:space="preserve">on the BM01 beamline </w:t>
      </w:r>
      <w:r w:rsidR="00054627">
        <w:t xml:space="preserve">at the </w:t>
      </w:r>
      <w:r w:rsidR="009D5BC6">
        <w:t>ESRF (λ = 0.</w:t>
      </w:r>
      <w:r w:rsidR="00054627">
        <w:t xml:space="preserve">6883 </w:t>
      </w:r>
      <w:r w:rsidR="009D5BC6">
        <w:t>Å)</w:t>
      </w:r>
      <w:r w:rsidR="005B35C8" w:rsidRPr="005B35C8">
        <w:t xml:space="preserve"> (d).</w:t>
      </w:r>
    </w:p>
    <w:p w14:paraId="1B089708" w14:textId="77777777" w:rsidR="003C13F8" w:rsidRDefault="003C13F8" w:rsidP="003C13F8"/>
    <w:p w14:paraId="19383418" w14:textId="77777777" w:rsidR="003C13F8" w:rsidRDefault="003C13F8" w:rsidP="003C13F8"/>
    <w:p w14:paraId="7B02D214" w14:textId="77777777" w:rsidR="00A516C2" w:rsidRPr="003C13F8" w:rsidRDefault="00A516C2" w:rsidP="003C13F8"/>
    <w:p w14:paraId="38D7116F" w14:textId="51E1FE68" w:rsidR="00AE25D9" w:rsidRDefault="00000000" w:rsidP="00365DD8">
      <w:pPr>
        <w:pStyle w:val="Heading4"/>
        <w:ind w:left="0" w:firstLine="0"/>
      </w:pPr>
      <w:r w:rsidRPr="00845A9C">
        <w:rPr>
          <w:lang w:val="en-US"/>
        </w:rPr>
        <w:t>[1]</w:t>
      </w:r>
      <w:r w:rsidR="00126069">
        <w:rPr>
          <w:lang w:val="en-US"/>
        </w:rPr>
        <w:t xml:space="preserve"> </w:t>
      </w:r>
      <w:r w:rsidR="00126069" w:rsidRPr="00126069">
        <w:t>Fairbank,</w:t>
      </w:r>
      <w:r w:rsidR="00126069">
        <w:t xml:space="preserve"> V. E., </w:t>
      </w:r>
      <w:r w:rsidR="00126069" w:rsidRPr="00126069">
        <w:t>Thompson,</w:t>
      </w:r>
      <w:r w:rsidR="00126069">
        <w:t xml:space="preserve"> A. L.,</w:t>
      </w:r>
      <w:r w:rsidR="00126069" w:rsidRPr="00126069">
        <w:t xml:space="preserve"> Cooper,</w:t>
      </w:r>
      <w:r w:rsidR="00126069">
        <w:t xml:space="preserve"> R</w:t>
      </w:r>
      <w:r w:rsidR="00126069" w:rsidRPr="0067797C">
        <w:rPr>
          <w:color w:val="000000" w:themeColor="text1"/>
        </w:rPr>
        <w:t>. I.,</w:t>
      </w:r>
      <w:r w:rsidR="00126069" w:rsidRPr="0067797C">
        <w:rPr>
          <w:color w:val="000000" w:themeColor="text1"/>
        </w:rPr>
        <w:t> </w:t>
      </w:r>
      <w:hyperlink r:id="rId8" w:history="1">
        <w:r w:rsidR="00126069" w:rsidRPr="0067797C">
          <w:rPr>
            <w:rStyle w:val="Hyperlink"/>
            <w:color w:val="000000" w:themeColor="text1"/>
            <w:u w:val="none"/>
          </w:rPr>
          <w:t>Goodwin</w:t>
        </w:r>
      </w:hyperlink>
      <w:r w:rsidR="00126069" w:rsidRPr="0067797C">
        <w:rPr>
          <w:color w:val="000000" w:themeColor="text1"/>
          <w:lang w:val="en-US"/>
        </w:rPr>
        <w:t>, A. L</w:t>
      </w:r>
      <w:r w:rsidR="00126069">
        <w:rPr>
          <w:lang w:val="en-US"/>
        </w:rPr>
        <w:t xml:space="preserve">. </w:t>
      </w:r>
      <w:r w:rsidR="00845A9C" w:rsidRPr="00845A9C">
        <w:rPr>
          <w:lang w:val="en-US"/>
        </w:rPr>
        <w:t>(2012)</w:t>
      </w:r>
      <w:r w:rsidR="00126069">
        <w:rPr>
          <w:lang w:val="en-US"/>
        </w:rPr>
        <w:t>.</w:t>
      </w:r>
      <w:r w:rsidR="00845A9C" w:rsidRPr="00845A9C">
        <w:rPr>
          <w:lang w:val="en-US"/>
        </w:rPr>
        <w:t xml:space="preserve"> </w:t>
      </w:r>
      <w:r w:rsidR="00845A9C" w:rsidRPr="00126069">
        <w:rPr>
          <w:i/>
          <w:iCs/>
          <w:lang w:val="en-US"/>
        </w:rPr>
        <w:t>Phys. Rev. B</w:t>
      </w:r>
      <w:r w:rsidR="00845A9C" w:rsidRPr="00845A9C">
        <w:rPr>
          <w:lang w:val="en-US"/>
        </w:rPr>
        <w:t xml:space="preserve"> </w:t>
      </w:r>
      <w:r w:rsidR="00845A9C" w:rsidRPr="00126069">
        <w:rPr>
          <w:b/>
          <w:bCs w:val="0"/>
          <w:lang w:val="en-US"/>
        </w:rPr>
        <w:t>86</w:t>
      </w:r>
      <w:r w:rsidR="00845A9C" w:rsidRPr="00845A9C">
        <w:rPr>
          <w:lang w:val="en-US"/>
        </w:rPr>
        <w:t>, 104113</w:t>
      </w:r>
    </w:p>
    <w:p w14:paraId="2DC4978E" w14:textId="0B51CBA4" w:rsidR="00AE25D9" w:rsidRDefault="00000000" w:rsidP="00365DD8">
      <w:pPr>
        <w:pStyle w:val="Heading4"/>
      </w:pPr>
      <w:r w:rsidRPr="00DE5E21">
        <w:rPr>
          <w:color w:val="000000" w:themeColor="text1"/>
        </w:rPr>
        <w:t xml:space="preserve">[2] </w:t>
      </w:r>
      <w:r w:rsidR="00365DD8" w:rsidRPr="00DE5E21">
        <w:rPr>
          <w:color w:val="000000" w:themeColor="text1"/>
        </w:rPr>
        <w:t>Goodwin</w:t>
      </w:r>
      <w:r w:rsidR="00365DD8" w:rsidRPr="00DE5E21">
        <w:rPr>
          <w:color w:val="000000" w:themeColor="text1"/>
        </w:rPr>
        <w:t>,</w:t>
      </w:r>
      <w:r w:rsidR="00DE5E21" w:rsidRPr="00DE5E21">
        <w:rPr>
          <w:color w:val="000000" w:themeColor="text1"/>
        </w:rPr>
        <w:t xml:space="preserve"> A.,</w:t>
      </w:r>
      <w:r w:rsidR="00365DD8" w:rsidRPr="00DE5E21">
        <w:rPr>
          <w:color w:val="000000" w:themeColor="text1"/>
        </w:rPr>
        <w:t xml:space="preserve"> </w:t>
      </w:r>
      <w:hyperlink r:id="rId9" w:anchor="con2" w:history="1">
        <w:r w:rsidR="00365DD8" w:rsidRPr="00DE5E21">
          <w:rPr>
            <w:rStyle w:val="Hyperlink"/>
            <w:color w:val="000000" w:themeColor="text1"/>
            <w:u w:val="none"/>
          </w:rPr>
          <w:t>Calleja</w:t>
        </w:r>
      </w:hyperlink>
      <w:r w:rsidR="00365DD8" w:rsidRPr="00DE5E21">
        <w:rPr>
          <w:color w:val="000000" w:themeColor="text1"/>
        </w:rPr>
        <w:t>,</w:t>
      </w:r>
      <w:r w:rsidR="00DE5E21" w:rsidRPr="00DE5E21">
        <w:rPr>
          <w:color w:val="000000" w:themeColor="text1"/>
        </w:rPr>
        <w:t xml:space="preserve"> M., </w:t>
      </w:r>
      <w:hyperlink r:id="rId10" w:anchor="con3" w:history="1">
        <w:proofErr w:type="spellStart"/>
        <w:r w:rsidR="00365DD8" w:rsidRPr="00DE5E21">
          <w:rPr>
            <w:rStyle w:val="Hyperlink"/>
            <w:color w:val="000000" w:themeColor="text1"/>
            <w:u w:val="none"/>
          </w:rPr>
          <w:t>Conterio</w:t>
        </w:r>
        <w:proofErr w:type="spellEnd"/>
      </w:hyperlink>
      <w:r w:rsidR="00DE5E21" w:rsidRPr="00DE5E21">
        <w:rPr>
          <w:color w:val="000000" w:themeColor="text1"/>
        </w:rPr>
        <w:t xml:space="preserve"> M. J., Dove , M. T.</w:t>
      </w:r>
      <w:r w:rsidR="00365DD8" w:rsidRPr="00DE5E21">
        <w:rPr>
          <w:color w:val="000000" w:themeColor="text1"/>
        </w:rPr>
        <w:t>, </w:t>
      </w:r>
      <w:hyperlink r:id="rId11" w:anchor="con5" w:history="1">
        <w:r w:rsidR="00365DD8" w:rsidRPr="00DE5E21">
          <w:rPr>
            <w:rStyle w:val="Hyperlink"/>
            <w:color w:val="000000" w:themeColor="text1"/>
            <w:u w:val="none"/>
          </w:rPr>
          <w:t>Evans</w:t>
        </w:r>
      </w:hyperlink>
      <w:r w:rsidR="00365DD8" w:rsidRPr="00DE5E21">
        <w:rPr>
          <w:color w:val="000000" w:themeColor="text1"/>
        </w:rPr>
        <w:t>,</w:t>
      </w:r>
      <w:r w:rsidR="00DE5E21" w:rsidRPr="00DE5E21">
        <w:rPr>
          <w:color w:val="000000" w:themeColor="text1"/>
        </w:rPr>
        <w:t xml:space="preserve"> </w:t>
      </w:r>
      <w:r w:rsidR="00DE5E21" w:rsidRPr="00DE5E21">
        <w:rPr>
          <w:color w:val="000000" w:themeColor="text1"/>
        </w:rPr>
        <w:t>J. S. O.</w:t>
      </w:r>
      <w:r w:rsidR="00DE5E21" w:rsidRPr="00DE5E21">
        <w:rPr>
          <w:color w:val="000000" w:themeColor="text1"/>
        </w:rPr>
        <w:t>,</w:t>
      </w:r>
      <w:r w:rsidR="00DE5E21" w:rsidRPr="00DE5E21">
        <w:rPr>
          <w:color w:val="000000" w:themeColor="text1"/>
        </w:rPr>
        <w:t> </w:t>
      </w:r>
      <w:hyperlink r:id="rId12" w:anchor="con6" w:history="1">
        <w:r w:rsidR="00365DD8" w:rsidRPr="00DE5E21">
          <w:rPr>
            <w:rStyle w:val="Hyperlink"/>
            <w:color w:val="000000" w:themeColor="text1"/>
            <w:u w:val="none"/>
          </w:rPr>
          <w:t> Keen</w:t>
        </w:r>
      </w:hyperlink>
      <w:r w:rsidR="00365DD8" w:rsidRPr="00DE5E21">
        <w:rPr>
          <w:color w:val="000000" w:themeColor="text1"/>
        </w:rPr>
        <w:t>,</w:t>
      </w:r>
      <w:r w:rsidR="00DE5E21" w:rsidRPr="00DE5E21">
        <w:rPr>
          <w:color w:val="000000" w:themeColor="text1"/>
        </w:rPr>
        <w:t xml:space="preserve"> D. A.,</w:t>
      </w:r>
      <w:r w:rsidR="00365DD8" w:rsidRPr="00DE5E21">
        <w:rPr>
          <w:color w:val="000000" w:themeColor="text1"/>
        </w:rPr>
        <w:t> </w:t>
      </w:r>
      <w:hyperlink r:id="rId13" w:anchor="con7" w:history="1">
        <w:r w:rsidR="00365DD8" w:rsidRPr="00DE5E21">
          <w:rPr>
            <w:rStyle w:val="Hyperlink"/>
            <w:color w:val="000000" w:themeColor="text1"/>
            <w:u w:val="none"/>
          </w:rPr>
          <w:t>Peters</w:t>
        </w:r>
      </w:hyperlink>
      <w:r w:rsidR="00365DD8" w:rsidRPr="00DE5E21">
        <w:rPr>
          <w:color w:val="000000" w:themeColor="text1"/>
        </w:rPr>
        <w:t>,</w:t>
      </w:r>
      <w:r w:rsidR="00DE5E21" w:rsidRPr="00DE5E21">
        <w:rPr>
          <w:color w:val="000000" w:themeColor="text1"/>
        </w:rPr>
        <w:t xml:space="preserve"> L.,</w:t>
      </w:r>
      <w:r w:rsidR="00365DD8" w:rsidRPr="00DE5E21">
        <w:rPr>
          <w:color w:val="000000" w:themeColor="text1"/>
        </w:rPr>
        <w:t xml:space="preserve"> </w:t>
      </w:r>
      <w:r w:rsidR="00DE5E21" w:rsidRPr="00DE5E21">
        <w:rPr>
          <w:color w:val="000000" w:themeColor="text1"/>
          <w:lang w:val="en-US"/>
        </w:rPr>
        <w:t>&amp;</w:t>
      </w:r>
      <w:r w:rsidR="00365DD8" w:rsidRPr="00DE5E21">
        <w:rPr>
          <w:color w:val="000000" w:themeColor="text1"/>
        </w:rPr>
        <w:t> </w:t>
      </w:r>
      <w:hyperlink r:id="rId14" w:anchor="con8" w:history="1">
        <w:r w:rsidR="00365DD8" w:rsidRPr="00DE5E21">
          <w:rPr>
            <w:rStyle w:val="Hyperlink"/>
            <w:color w:val="000000" w:themeColor="text1"/>
            <w:u w:val="none"/>
          </w:rPr>
          <w:t>Tucker</w:t>
        </w:r>
      </w:hyperlink>
      <w:r w:rsidR="00DE5E21" w:rsidRPr="00DE5E21">
        <w:rPr>
          <w:color w:val="000000" w:themeColor="text1"/>
        </w:rPr>
        <w:t>, M. G. (2008)</w:t>
      </w:r>
      <w:r w:rsidR="00DE5E21">
        <w:rPr>
          <w:color w:val="000000" w:themeColor="text1"/>
        </w:rPr>
        <w:t>.</w:t>
      </w:r>
      <w:r w:rsidR="00365DD8" w:rsidRPr="00DE5E21">
        <w:rPr>
          <w:i/>
          <w:iCs/>
          <w:color w:val="000000" w:themeColor="text1"/>
        </w:rPr>
        <w:t xml:space="preserve"> </w:t>
      </w:r>
      <w:r w:rsidR="00365DD8" w:rsidRPr="00DE5E21">
        <w:rPr>
          <w:i/>
          <w:iCs/>
          <w:color w:val="000000" w:themeColor="text1"/>
        </w:rPr>
        <w:t>Science</w:t>
      </w:r>
      <w:r w:rsidR="00365DD8" w:rsidRPr="00DE5E21">
        <w:rPr>
          <w:b/>
          <w:bCs w:val="0"/>
          <w:color w:val="000000" w:themeColor="text1"/>
        </w:rPr>
        <w:t xml:space="preserve"> </w:t>
      </w:r>
      <w:r w:rsidR="00365DD8" w:rsidRPr="00DE5E21">
        <w:rPr>
          <w:b/>
          <w:bCs w:val="0"/>
        </w:rPr>
        <w:t>319</w:t>
      </w:r>
      <w:r w:rsidR="00DE5E21">
        <w:t>,</w:t>
      </w:r>
      <w:r w:rsidR="00365DD8" w:rsidRPr="00365DD8">
        <w:t xml:space="preserve"> 794.</w:t>
      </w:r>
    </w:p>
    <w:p w14:paraId="69F70052" w14:textId="1C333032" w:rsidR="00AE25D9" w:rsidRDefault="00000000">
      <w:pPr>
        <w:pStyle w:val="Heading4"/>
      </w:pPr>
      <w:r>
        <w:t xml:space="preserve">[3] </w:t>
      </w:r>
      <w:r w:rsidR="00365DD8" w:rsidRPr="00365DD8">
        <w:t>Colis</w:t>
      </w:r>
      <w:r w:rsidR="0067797C">
        <w:t>, J. C. F., Larochelle, C., Staples, R., Herst-Irmer, R., Patterson, H.,</w:t>
      </w:r>
      <w:r w:rsidR="00365DD8" w:rsidRPr="00365DD8">
        <w:t xml:space="preserve"> (2005)</w:t>
      </w:r>
      <w:r w:rsidR="005D4DE5">
        <w:t>.</w:t>
      </w:r>
      <w:r w:rsidR="00365DD8" w:rsidRPr="00365DD8">
        <w:t xml:space="preserve"> </w:t>
      </w:r>
      <w:r w:rsidR="00365DD8" w:rsidRPr="0067797C">
        <w:rPr>
          <w:i/>
          <w:iCs/>
        </w:rPr>
        <w:t>Dalton Trans</w:t>
      </w:r>
      <w:r w:rsidR="00365DD8" w:rsidRPr="00365DD8">
        <w:t>. 675-679</w:t>
      </w:r>
    </w:p>
    <w:p w14:paraId="4AD73AAC" w14:textId="33577BCD" w:rsidR="0067797C" w:rsidRDefault="0067797C">
      <w:pPr>
        <w:pStyle w:val="Acknowledgement"/>
      </w:pPr>
    </w:p>
    <w:sectPr w:rsidR="0067797C">
      <w:headerReference w:type="default" r:id="rId15"/>
      <w:footerReference w:type="default" r:id="rId16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3CDC" w14:textId="77777777" w:rsidR="00D47A93" w:rsidRDefault="00D47A93">
      <w:pPr>
        <w:spacing w:after="0"/>
      </w:pPr>
      <w:r>
        <w:separator/>
      </w:r>
    </w:p>
  </w:endnote>
  <w:endnote w:type="continuationSeparator" w:id="0">
    <w:p w14:paraId="3187CE23" w14:textId="77777777" w:rsidR="00D47A93" w:rsidRDefault="00D47A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B21D" w14:textId="77777777" w:rsidR="00AE25D9" w:rsidRDefault="00AE25D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8021" w14:textId="77777777" w:rsidR="00D47A93" w:rsidRDefault="00D47A93">
      <w:pPr>
        <w:spacing w:after="0"/>
      </w:pPr>
      <w:r>
        <w:separator/>
      </w:r>
    </w:p>
  </w:footnote>
  <w:footnote w:type="continuationSeparator" w:id="0">
    <w:p w14:paraId="7FA2E63D" w14:textId="77777777" w:rsidR="00D47A93" w:rsidRDefault="00D47A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18B2" w14:textId="76C35CC3" w:rsidR="00AE25D9" w:rsidRDefault="00000000">
    <w:pPr>
      <w:tabs>
        <w:tab w:val="center" w:pos="4703"/>
        <w:tab w:val="right" w:pos="9406"/>
      </w:tabs>
    </w:pPr>
    <w:r>
      <w:rPr>
        <w:b/>
        <w:bCs/>
      </w:rPr>
      <w:t>M</w:t>
    </w:r>
    <w:r w:rsidR="003C13F8">
      <w:rPr>
        <w:b/>
        <w:bCs/>
      </w:rPr>
      <w:t>10</w:t>
    </w:r>
    <w:r>
      <w:tab/>
    </w:r>
    <w:r w:rsidR="003C13F8">
      <w:rPr>
        <w:b/>
        <w:bCs/>
      </w:rPr>
      <w:t>S</w:t>
    </w:r>
    <w:r w:rsidR="003C13F8" w:rsidRPr="003C13F8">
      <w:rPr>
        <w:b/>
        <w:bCs/>
      </w:rPr>
      <w:t>tructure-property relationships in materials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D9"/>
    <w:rsid w:val="00054627"/>
    <w:rsid w:val="000C4CF5"/>
    <w:rsid w:val="001245EA"/>
    <w:rsid w:val="00126069"/>
    <w:rsid w:val="00211422"/>
    <w:rsid w:val="00365DD8"/>
    <w:rsid w:val="003C13F8"/>
    <w:rsid w:val="003C179C"/>
    <w:rsid w:val="00436BF0"/>
    <w:rsid w:val="00442D1A"/>
    <w:rsid w:val="00443ABB"/>
    <w:rsid w:val="005B35C8"/>
    <w:rsid w:val="005D4DE5"/>
    <w:rsid w:val="00611E20"/>
    <w:rsid w:val="0067797C"/>
    <w:rsid w:val="00800FE0"/>
    <w:rsid w:val="00845A9C"/>
    <w:rsid w:val="008717B8"/>
    <w:rsid w:val="009D5BC6"/>
    <w:rsid w:val="00A516C2"/>
    <w:rsid w:val="00AE25D9"/>
    <w:rsid w:val="00C72780"/>
    <w:rsid w:val="00D47A93"/>
    <w:rsid w:val="00DE5E21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AEAD"/>
  <w15:docId w15:val="{76FA4329-CB46-4BCD-9629-5D1D45B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PtOBKdsAAAAJ&amp;hl=de&amp;oi=sra" TargetMode="External"/><Relationship Id="rId13" Type="http://schemas.openxmlformats.org/officeDocument/2006/relationships/hyperlink" Target="https://www.science.org/doi/10.1126/science.11514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cience.org/doi/10.1126/science.11514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ience.org/doi/10.1126/science.115144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ience.org/doi/10.1126/science.1151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.org/doi/10.1126/science.1151442" TargetMode="External"/><Relationship Id="rId14" Type="http://schemas.openxmlformats.org/officeDocument/2006/relationships/hyperlink" Target="https://www.science.org/doi/10.1126/science.115144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Corkett, Alexander</cp:lastModifiedBy>
  <cp:revision>3</cp:revision>
  <dcterms:created xsi:type="dcterms:W3CDTF">2025-05-09T19:00:00Z</dcterms:created>
  <dcterms:modified xsi:type="dcterms:W3CDTF">2025-05-10T06:08:00Z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