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ADEBF" w14:textId="17B71FA1" w:rsidR="000D1774" w:rsidRPr="003A3B3D" w:rsidRDefault="00B02A80">
      <w:pPr>
        <w:pStyle w:val="1"/>
        <w:rPr>
          <w:lang w:val="en-US"/>
        </w:rPr>
      </w:pPr>
      <w:r w:rsidRPr="003A3B3D">
        <w:rPr>
          <w:lang w:val="en-US"/>
        </w:rPr>
        <w:t xml:space="preserve">Quaternary representative of </w:t>
      </w:r>
      <w:r w:rsidR="00A0087B" w:rsidRPr="003A3B3D">
        <w:rPr>
          <w:lang w:val="en-US"/>
        </w:rPr>
        <w:t xml:space="preserve">the </w:t>
      </w:r>
      <w:r w:rsidRPr="003A3B3D">
        <w:rPr>
          <w:lang w:val="en-US"/>
        </w:rPr>
        <w:t>Cr</w:t>
      </w:r>
      <w:r w:rsidRPr="003A3B3D">
        <w:rPr>
          <w:vertAlign w:val="subscript"/>
          <w:lang w:val="en-US"/>
        </w:rPr>
        <w:t>2</w:t>
      </w:r>
      <w:r w:rsidRPr="003A3B3D">
        <w:rPr>
          <w:lang w:val="en-US"/>
        </w:rPr>
        <w:t xml:space="preserve">AlC-type structure in the </w:t>
      </w:r>
      <w:proofErr w:type="spellStart"/>
      <w:r w:rsidRPr="003A3B3D">
        <w:rPr>
          <w:lang w:val="en-US"/>
        </w:rPr>
        <w:t>Ti</w:t>
      </w:r>
      <w:proofErr w:type="spellEnd"/>
      <w:r w:rsidRPr="003A3B3D">
        <w:rPr>
          <w:lang w:val="en-US"/>
        </w:rPr>
        <w:t>–Al</w:t>
      </w:r>
      <w:r w:rsidR="00BC29D7" w:rsidRPr="003A3B3D">
        <w:rPr>
          <w:lang w:val="en-US"/>
        </w:rPr>
        <w:t>–Ga</w:t>
      </w:r>
      <w:r w:rsidRPr="003A3B3D">
        <w:rPr>
          <w:lang w:val="en-US"/>
        </w:rPr>
        <w:t>–C system</w:t>
      </w:r>
    </w:p>
    <w:p w14:paraId="010FECE1" w14:textId="77777777" w:rsidR="000A6026" w:rsidRPr="003A3B3D" w:rsidRDefault="000A6026">
      <w:pPr>
        <w:pStyle w:val="3"/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</w:pPr>
      <w:r w:rsidRPr="003A3B3D"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  <w:t>A. Broda</w:t>
      </w:r>
      <w:r w:rsidRPr="003A3B3D">
        <w:rPr>
          <w:rFonts w:ascii="Arial" w:hAnsi="Arial" w:cs="Arial"/>
          <w:b/>
          <w:i w:val="0"/>
          <w:iCs/>
          <w:sz w:val="22"/>
          <w:szCs w:val="32"/>
          <w:vertAlign w:val="superscript"/>
          <w:lang w:val="en-US" w:eastAsia="de-DE"/>
        </w:rPr>
        <w:t>1</w:t>
      </w:r>
      <w:r w:rsidRPr="003A3B3D"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  <w:t>, N. Klymentiy</w:t>
      </w:r>
      <w:r w:rsidRPr="003A3B3D">
        <w:rPr>
          <w:rFonts w:ascii="Arial" w:hAnsi="Arial" w:cs="Arial"/>
          <w:b/>
          <w:i w:val="0"/>
          <w:iCs/>
          <w:sz w:val="22"/>
          <w:szCs w:val="32"/>
          <w:vertAlign w:val="superscript"/>
          <w:lang w:val="en-US" w:eastAsia="de-DE"/>
        </w:rPr>
        <w:t>1</w:t>
      </w:r>
      <w:r w:rsidRPr="003A3B3D"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  <w:t>, S. Pukas</w:t>
      </w:r>
      <w:r w:rsidRPr="003A3B3D">
        <w:rPr>
          <w:rFonts w:ascii="Arial" w:hAnsi="Arial" w:cs="Arial"/>
          <w:b/>
          <w:i w:val="0"/>
          <w:iCs/>
          <w:sz w:val="22"/>
          <w:szCs w:val="32"/>
          <w:vertAlign w:val="superscript"/>
          <w:lang w:val="en-US" w:eastAsia="de-DE"/>
        </w:rPr>
        <w:t>1</w:t>
      </w:r>
      <w:r w:rsidRPr="003A3B3D"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  <w:t>, R. Cardoso-Gil</w:t>
      </w:r>
      <w:r w:rsidRPr="003A3B3D">
        <w:rPr>
          <w:rFonts w:ascii="Arial" w:hAnsi="Arial" w:cs="Arial"/>
          <w:b/>
          <w:i w:val="0"/>
          <w:iCs/>
          <w:sz w:val="22"/>
          <w:szCs w:val="32"/>
          <w:vertAlign w:val="superscript"/>
          <w:lang w:val="en-US" w:eastAsia="de-DE"/>
        </w:rPr>
        <w:t>2</w:t>
      </w:r>
      <w:r w:rsidRPr="003A3B3D"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  <w:t>, Yu. Grin</w:t>
      </w:r>
      <w:r w:rsidRPr="003A3B3D">
        <w:rPr>
          <w:rFonts w:ascii="Arial" w:hAnsi="Arial" w:cs="Arial"/>
          <w:b/>
          <w:i w:val="0"/>
          <w:iCs/>
          <w:sz w:val="22"/>
          <w:szCs w:val="32"/>
          <w:vertAlign w:val="superscript"/>
          <w:lang w:val="en-US" w:eastAsia="de-DE"/>
        </w:rPr>
        <w:t>2</w:t>
      </w:r>
      <w:r w:rsidRPr="003A3B3D">
        <w:rPr>
          <w:rFonts w:ascii="Arial" w:hAnsi="Arial" w:cs="Arial"/>
          <w:b/>
          <w:i w:val="0"/>
          <w:iCs/>
          <w:sz w:val="22"/>
          <w:szCs w:val="32"/>
          <w:lang w:val="en-US" w:eastAsia="de-DE"/>
        </w:rPr>
        <w:t>, R. Gladyshevskii</w:t>
      </w:r>
      <w:r w:rsidRPr="003A3B3D">
        <w:rPr>
          <w:rFonts w:ascii="Arial" w:hAnsi="Arial" w:cs="Arial"/>
          <w:b/>
          <w:i w:val="0"/>
          <w:iCs/>
          <w:sz w:val="22"/>
          <w:szCs w:val="32"/>
          <w:vertAlign w:val="superscript"/>
          <w:lang w:val="en-US" w:eastAsia="de-DE"/>
        </w:rPr>
        <w:t>1</w:t>
      </w:r>
    </w:p>
    <w:p w14:paraId="5AFF1CA6" w14:textId="265995F8" w:rsidR="000D1774" w:rsidRPr="003A3B3D" w:rsidRDefault="0005550E" w:rsidP="00B02A80">
      <w:pPr>
        <w:pStyle w:val="3"/>
        <w:rPr>
          <w:iCs/>
          <w:lang w:val="en-US"/>
        </w:rPr>
      </w:pPr>
      <w:r w:rsidRPr="003A3B3D">
        <w:rPr>
          <w:i w:val="0"/>
          <w:iCs/>
          <w:vertAlign w:val="superscript"/>
          <w:lang w:val="en-US"/>
        </w:rPr>
        <w:t>1</w:t>
      </w:r>
      <w:r w:rsidRPr="003A3B3D">
        <w:rPr>
          <w:iCs/>
          <w:lang w:val="en-US"/>
        </w:rPr>
        <w:t xml:space="preserve">Department of Inorganic Chemistry, Ivan Franko National University of </w:t>
      </w:r>
      <w:proofErr w:type="spellStart"/>
      <w:r w:rsidRPr="003A3B3D">
        <w:rPr>
          <w:iCs/>
          <w:lang w:val="en-US"/>
        </w:rPr>
        <w:t>Lviv</w:t>
      </w:r>
      <w:proofErr w:type="spellEnd"/>
      <w:r w:rsidRPr="003A3B3D">
        <w:rPr>
          <w:iCs/>
          <w:lang w:val="en-US"/>
        </w:rPr>
        <w:t xml:space="preserve">, </w:t>
      </w:r>
      <w:proofErr w:type="spellStart"/>
      <w:r w:rsidRPr="003A3B3D">
        <w:rPr>
          <w:iCs/>
          <w:lang w:val="en-US"/>
        </w:rPr>
        <w:t>Kyryla</w:t>
      </w:r>
      <w:proofErr w:type="spellEnd"/>
      <w:r w:rsidRPr="003A3B3D">
        <w:rPr>
          <w:iCs/>
          <w:lang w:val="en-US"/>
        </w:rPr>
        <w:t xml:space="preserve"> </w:t>
      </w:r>
      <w:proofErr w:type="spellStart"/>
      <w:r w:rsidRPr="003A3B3D">
        <w:rPr>
          <w:iCs/>
          <w:lang w:val="en-US"/>
        </w:rPr>
        <w:t>i</w:t>
      </w:r>
      <w:proofErr w:type="spellEnd"/>
      <w:r w:rsidRPr="003A3B3D">
        <w:rPr>
          <w:iCs/>
          <w:lang w:val="en-US"/>
        </w:rPr>
        <w:t xml:space="preserve"> </w:t>
      </w:r>
      <w:proofErr w:type="spellStart"/>
      <w:r w:rsidRPr="003A3B3D">
        <w:rPr>
          <w:iCs/>
          <w:lang w:val="en-US"/>
        </w:rPr>
        <w:t>Mefodiya</w:t>
      </w:r>
      <w:proofErr w:type="spellEnd"/>
      <w:r w:rsidRPr="003A3B3D">
        <w:rPr>
          <w:iCs/>
          <w:lang w:val="en-US"/>
        </w:rPr>
        <w:t xml:space="preserve"> St. 6, 79005 Lviv, Ukraine,</w:t>
      </w:r>
      <w:bookmarkStart w:id="0" w:name="_GoBack"/>
      <w:bookmarkEnd w:id="0"/>
      <w:r w:rsidR="00B02A80" w:rsidRPr="003A3B3D">
        <w:rPr>
          <w:iCs/>
          <w:lang w:val="en-US"/>
        </w:rPr>
        <w:br/>
      </w:r>
      <w:r w:rsidRPr="003A3B3D">
        <w:rPr>
          <w:i w:val="0"/>
          <w:iCs/>
          <w:vertAlign w:val="superscript"/>
          <w:lang w:val="en-US"/>
        </w:rPr>
        <w:t>2</w:t>
      </w:r>
      <w:r w:rsidRPr="003A3B3D">
        <w:rPr>
          <w:iCs/>
          <w:lang w:val="en-US"/>
        </w:rPr>
        <w:t>Max</w:t>
      </w:r>
      <w:r w:rsidR="00DC5515" w:rsidRPr="003A3B3D">
        <w:rPr>
          <w:iCs/>
          <w:lang w:val="en-US"/>
        </w:rPr>
        <w:t xml:space="preserve"> </w:t>
      </w:r>
      <w:r w:rsidRPr="003A3B3D">
        <w:rPr>
          <w:iCs/>
          <w:lang w:val="en-US"/>
        </w:rPr>
        <w:t>Planck</w:t>
      </w:r>
      <w:r w:rsidR="00DC5515" w:rsidRPr="003A3B3D">
        <w:rPr>
          <w:iCs/>
          <w:lang w:val="en-US"/>
        </w:rPr>
        <w:t xml:space="preserve"> </w:t>
      </w:r>
      <w:r w:rsidRPr="003A3B3D">
        <w:rPr>
          <w:iCs/>
          <w:lang w:val="en-US"/>
        </w:rPr>
        <w:t xml:space="preserve">Institute for Chemical Physics of Solids, </w:t>
      </w:r>
      <w:proofErr w:type="spellStart"/>
      <w:r w:rsidRPr="003A3B3D">
        <w:rPr>
          <w:iCs/>
          <w:lang w:val="en-US"/>
        </w:rPr>
        <w:t>Nöthnitzer</w:t>
      </w:r>
      <w:proofErr w:type="spellEnd"/>
      <w:r w:rsidRPr="003A3B3D">
        <w:rPr>
          <w:iCs/>
          <w:lang w:val="en-US"/>
        </w:rPr>
        <w:t xml:space="preserve"> St. 40, 01187 Dresden, Germany</w:t>
      </w:r>
    </w:p>
    <w:p w14:paraId="07FAECE4" w14:textId="77777777" w:rsidR="000D1774" w:rsidRPr="003A3B3D" w:rsidRDefault="0005550E">
      <w:pPr>
        <w:pStyle w:val="3"/>
        <w:rPr>
          <w:i w:val="0"/>
          <w:iCs/>
          <w:sz w:val="18"/>
          <w:szCs w:val="18"/>
          <w:lang w:val="en-US"/>
        </w:rPr>
      </w:pPr>
      <w:r w:rsidRPr="003A3B3D">
        <w:rPr>
          <w:iCs/>
          <w:lang w:val="en-US"/>
        </w:rPr>
        <w:t>Anastasiia.Broda.hmh@lnu.edu.ua</w:t>
      </w:r>
      <w:r w:rsidR="000F0466" w:rsidRPr="003A3B3D">
        <w:rPr>
          <w:lang w:val="en-US" w:eastAsia="de-DE"/>
        </w:rPr>
        <w:br/>
      </w:r>
    </w:p>
    <w:p w14:paraId="405EAAF0" w14:textId="5EA4AE71" w:rsidR="00C24B10" w:rsidRPr="003A3B3D" w:rsidRDefault="00C24B10">
      <w:pPr>
        <w:rPr>
          <w:lang w:val="en-US"/>
        </w:rPr>
      </w:pPr>
      <w:r w:rsidRPr="003A3B3D">
        <w:rPr>
          <w:lang w:val="en-US"/>
        </w:rPr>
        <w:t>In the Ti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Al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C system, the Ti</w:t>
      </w:r>
      <w:r w:rsidR="00B02A80" w:rsidRPr="003A3B3D">
        <w:rPr>
          <w:vertAlign w:val="subscript"/>
          <w:lang w:val="en-US"/>
        </w:rPr>
        <w:t>2</w:t>
      </w:r>
      <w:r w:rsidRPr="003A3B3D">
        <w:rPr>
          <w:lang w:val="en-US"/>
        </w:rPr>
        <w:t>AlC compound forms with a Cr</w:t>
      </w:r>
      <w:r w:rsidR="00B02A80" w:rsidRPr="003A3B3D">
        <w:rPr>
          <w:vertAlign w:val="subscript"/>
          <w:lang w:val="en-US"/>
        </w:rPr>
        <w:t>2</w:t>
      </w:r>
      <w:r w:rsidRPr="003A3B3D">
        <w:rPr>
          <w:lang w:val="en-US"/>
        </w:rPr>
        <w:t xml:space="preserve">AlC-type structure, classified among the MAX phases. These materials are particularly promising due to their unique layered structure, which imparts a combination of metallic and ceramic properties. </w:t>
      </w:r>
      <w:r w:rsidR="003A04EF" w:rsidRPr="003A3B3D">
        <w:rPr>
          <w:lang w:val="en-US"/>
        </w:rPr>
        <w:t>T</w:t>
      </w:r>
      <w:r w:rsidRPr="003A3B3D">
        <w:rPr>
          <w:lang w:val="en-US"/>
        </w:rPr>
        <w:t>hey offer excellent electrical and thermal conductivity, are relatively soft and easy to machine, resist thermal shock</w:t>
      </w:r>
      <w:r w:rsidR="00A0087B" w:rsidRPr="003A3B3D">
        <w:rPr>
          <w:lang w:val="en-US"/>
        </w:rPr>
        <w:t>s</w:t>
      </w:r>
      <w:r w:rsidRPr="003A3B3D">
        <w:rPr>
          <w:lang w:val="en-US"/>
        </w:rPr>
        <w:t xml:space="preserve"> and oxidation, </w:t>
      </w:r>
      <w:r w:rsidR="00A0087B" w:rsidRPr="003A3B3D">
        <w:rPr>
          <w:lang w:val="en-US"/>
        </w:rPr>
        <w:t>present</w:t>
      </w:r>
      <w:r w:rsidRPr="003A3B3D">
        <w:rPr>
          <w:lang w:val="en-US"/>
        </w:rPr>
        <w:t xml:space="preserve"> high thermal stability</w:t>
      </w:r>
      <w:r w:rsidR="003A04EF" w:rsidRPr="003A3B3D">
        <w:rPr>
          <w:lang w:val="en-US"/>
        </w:rPr>
        <w:t>,</w:t>
      </w:r>
      <w:r w:rsidRPr="003A3B3D">
        <w:rPr>
          <w:lang w:val="en-US"/>
        </w:rPr>
        <w:t xml:space="preserve"> and </w:t>
      </w:r>
      <w:r w:rsidR="00A0087B" w:rsidRPr="003A3B3D">
        <w:rPr>
          <w:lang w:val="en-US"/>
        </w:rPr>
        <w:t xml:space="preserve">have </w:t>
      </w:r>
      <w:r w:rsidRPr="003A3B3D">
        <w:rPr>
          <w:lang w:val="en-US"/>
        </w:rPr>
        <w:t xml:space="preserve">a high melting point. Currently, over 150 compounds are known to belong to the MAX phase family, each </w:t>
      </w:r>
      <w:r w:rsidR="003A04EF" w:rsidRPr="003A3B3D">
        <w:rPr>
          <w:lang w:val="en-US"/>
        </w:rPr>
        <w:t xml:space="preserve">one </w:t>
      </w:r>
      <w:r w:rsidRPr="003A3B3D">
        <w:rPr>
          <w:lang w:val="en-US"/>
        </w:rPr>
        <w:t>exhibiting distinct properties</w:t>
      </w:r>
      <w:r w:rsidR="00CF2619" w:rsidRPr="003A3B3D">
        <w:rPr>
          <w:lang w:val="en-US"/>
        </w:rPr>
        <w:t xml:space="preserve"> [1]</w:t>
      </w:r>
      <w:r w:rsidRPr="003A3B3D">
        <w:rPr>
          <w:lang w:val="en-US"/>
        </w:rPr>
        <w:t xml:space="preserve">. This diversity has driven researchers to explore new element combinations in the pursuit of materials with tailored characteristics. The formation of static mixtures </w:t>
      </w:r>
      <w:r w:rsidR="00A0087B" w:rsidRPr="003A3B3D">
        <w:rPr>
          <w:lang w:val="en-US"/>
        </w:rPr>
        <w:t>of</w:t>
      </w:r>
      <w:r w:rsidRPr="003A3B3D">
        <w:rPr>
          <w:lang w:val="en-US"/>
        </w:rPr>
        <w:t xml:space="preserve"> Al and Ga </w:t>
      </w:r>
      <w:r w:rsidR="00A0087B" w:rsidRPr="003A3B3D">
        <w:rPr>
          <w:lang w:val="en-US"/>
        </w:rPr>
        <w:t xml:space="preserve">atoms </w:t>
      </w:r>
      <w:r w:rsidRPr="003A3B3D">
        <w:rPr>
          <w:lang w:val="en-US"/>
        </w:rPr>
        <w:t>has been observed in the Cr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Al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Ga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C and V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Al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Ga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C systems</w:t>
      </w:r>
      <w:r w:rsidR="00CF2619" w:rsidRPr="003A3B3D">
        <w:rPr>
          <w:lang w:val="en-US"/>
        </w:rPr>
        <w:t xml:space="preserve"> [2]</w:t>
      </w:r>
      <w:r w:rsidRPr="003A3B3D">
        <w:rPr>
          <w:lang w:val="en-US"/>
        </w:rPr>
        <w:t xml:space="preserve">. </w:t>
      </w:r>
      <w:r w:rsidR="00A0087B" w:rsidRPr="003A3B3D">
        <w:rPr>
          <w:lang w:val="en-US"/>
        </w:rPr>
        <w:t xml:space="preserve">A </w:t>
      </w:r>
      <w:r w:rsidRPr="003A3B3D">
        <w:rPr>
          <w:lang w:val="en-US"/>
        </w:rPr>
        <w:t>continuous solid solution is known to form in the Ti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Al</w:t>
      </w:r>
      <w:r w:rsidR="00B02A80" w:rsidRPr="003A3B3D">
        <w:rPr>
          <w:lang w:val="en-US"/>
        </w:rPr>
        <w:t>–</w:t>
      </w:r>
      <w:r w:rsidRPr="003A3B3D">
        <w:rPr>
          <w:lang w:val="en-US"/>
        </w:rPr>
        <w:t>Ga ternary system</w:t>
      </w:r>
      <w:r w:rsidR="00CF2619" w:rsidRPr="003A3B3D">
        <w:rPr>
          <w:lang w:val="en-US"/>
        </w:rPr>
        <w:t xml:space="preserve"> [</w:t>
      </w:r>
      <w:r w:rsidR="00FB5C1E" w:rsidRPr="003A3B3D">
        <w:rPr>
          <w:lang w:val="en-US"/>
        </w:rPr>
        <w:t>3</w:t>
      </w:r>
      <w:r w:rsidR="00CF2619" w:rsidRPr="003A3B3D">
        <w:rPr>
          <w:lang w:val="en-US"/>
        </w:rPr>
        <w:t>]</w:t>
      </w:r>
      <w:r w:rsidRPr="003A3B3D">
        <w:rPr>
          <w:lang w:val="en-US"/>
        </w:rPr>
        <w:t xml:space="preserve">, which motivated </w:t>
      </w:r>
      <w:r w:rsidR="00A0087B" w:rsidRPr="003A3B3D">
        <w:rPr>
          <w:lang w:val="en-US"/>
        </w:rPr>
        <w:t xml:space="preserve">us to </w:t>
      </w:r>
      <w:r w:rsidRPr="003A3B3D">
        <w:rPr>
          <w:lang w:val="en-US"/>
        </w:rPr>
        <w:t>further investiga</w:t>
      </w:r>
      <w:r w:rsidR="00A0087B" w:rsidRPr="003A3B3D">
        <w:rPr>
          <w:lang w:val="en-US"/>
        </w:rPr>
        <w:t>te</w:t>
      </w:r>
      <w:r w:rsidRPr="003A3B3D">
        <w:rPr>
          <w:lang w:val="en-US"/>
        </w:rPr>
        <w:t xml:space="preserve"> </w:t>
      </w:r>
      <w:r w:rsidR="00A0087B" w:rsidRPr="003A3B3D">
        <w:rPr>
          <w:lang w:val="en-US"/>
        </w:rPr>
        <w:t>this</w:t>
      </w:r>
      <w:r w:rsidRPr="003A3B3D">
        <w:rPr>
          <w:lang w:val="en-US"/>
        </w:rPr>
        <w:t xml:space="preserve"> quaternary system.</w:t>
      </w:r>
    </w:p>
    <w:p w14:paraId="0AD0974D" w14:textId="05751353" w:rsidR="00AA66E6" w:rsidRPr="003A3B3D" w:rsidRDefault="00AA66E6" w:rsidP="00AA66E6">
      <w:pPr>
        <w:rPr>
          <w:lang w:val="en-US"/>
        </w:rPr>
      </w:pPr>
      <w:r w:rsidRPr="003A3B3D">
        <w:rPr>
          <w:lang w:val="en-US"/>
        </w:rPr>
        <w:t xml:space="preserve">Samples were synthesized using elemental powders of Ti, Al, and C, along with metallic Ga pieces. Two compositions were prepared: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22</w:t>
      </w:r>
      <w:r w:rsidR="00B02A80" w:rsidRPr="003A3B3D">
        <w:rPr>
          <w:lang w:val="en-US"/>
        </w:rPr>
        <w:t xml:space="preserve"> </w:t>
      </w:r>
      <w:r w:rsidRPr="003A3B3D">
        <w:rPr>
          <w:lang w:val="en-US"/>
        </w:rPr>
        <w:t xml:space="preserve">and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30</w:t>
      </w:r>
      <w:r w:rsidRPr="003A3B3D">
        <w:rPr>
          <w:lang w:val="en-US"/>
        </w:rPr>
        <w:t xml:space="preserve">. The synthesis was carried out in two stages. Stage 1 involved sintering in an induction furnace at 900°C for 10 minutes to prevent the presence of unreacted Ga. All processes were conducted in a glove box under an argon atmosphere. </w:t>
      </w:r>
      <w:r w:rsidR="00A0087B" w:rsidRPr="003A3B3D">
        <w:rPr>
          <w:lang w:val="en-US"/>
        </w:rPr>
        <w:t>T</w:t>
      </w:r>
      <w:r w:rsidRPr="003A3B3D">
        <w:rPr>
          <w:lang w:val="en-US"/>
        </w:rPr>
        <w:t xml:space="preserve">he sintered material was </w:t>
      </w:r>
      <w:r w:rsidR="00A0087B" w:rsidRPr="003A3B3D">
        <w:rPr>
          <w:lang w:val="en-US"/>
        </w:rPr>
        <w:t xml:space="preserve">then </w:t>
      </w:r>
      <w:r w:rsidRPr="003A3B3D">
        <w:rPr>
          <w:lang w:val="en-US"/>
        </w:rPr>
        <w:t>ground using a ball mill to prepare for the next stage. Stage 2 involved spark plasma sintering (SPS). T</w:t>
      </w:r>
      <w:r w:rsidR="00A0087B" w:rsidRPr="003A3B3D">
        <w:rPr>
          <w:lang w:val="en-US"/>
        </w:rPr>
        <w:t>he t</w:t>
      </w:r>
      <w:r w:rsidRPr="003A3B3D">
        <w:rPr>
          <w:lang w:val="en-US"/>
        </w:rPr>
        <w:t xml:space="preserve">emperature was monitored using a pyrometer. Initially, </w:t>
      </w:r>
      <w:r w:rsidR="00A0087B" w:rsidRPr="003A3B3D">
        <w:rPr>
          <w:lang w:val="en-US"/>
        </w:rPr>
        <w:t xml:space="preserve">the </w:t>
      </w:r>
      <w:r w:rsidRPr="003A3B3D">
        <w:rPr>
          <w:lang w:val="en-US"/>
        </w:rPr>
        <w:t xml:space="preserve">samples were heated to 600°C and held for one minute. The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22</w:t>
      </w:r>
      <w:r w:rsidR="00B02A80" w:rsidRPr="003A3B3D">
        <w:rPr>
          <w:lang w:val="en-US"/>
        </w:rPr>
        <w:t xml:space="preserve"> </w:t>
      </w:r>
      <w:r w:rsidRPr="003A3B3D">
        <w:rPr>
          <w:lang w:val="en-US"/>
        </w:rPr>
        <w:t xml:space="preserve">sample was then heated to 1200°C, while the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30</w:t>
      </w:r>
      <w:r w:rsidRPr="003A3B3D">
        <w:rPr>
          <w:lang w:val="en-US"/>
        </w:rPr>
        <w:t xml:space="preserve"> sample was heated to 1300°C, both at a rate of 10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 xml:space="preserve">K/min. Each </w:t>
      </w:r>
      <w:r w:rsidR="00A0087B" w:rsidRPr="003A3B3D">
        <w:rPr>
          <w:lang w:val="en-US"/>
        </w:rPr>
        <w:t xml:space="preserve">sample </w:t>
      </w:r>
      <w:r w:rsidRPr="003A3B3D">
        <w:rPr>
          <w:lang w:val="en-US"/>
        </w:rPr>
        <w:t>was held at its respective peak temperature for 2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>h under a pressure of 65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>MPa. Finally, the samples were cooled to room temperature over a period of 30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>minutes.</w:t>
      </w:r>
    </w:p>
    <w:p w14:paraId="7F491DD7" w14:textId="16C9A597" w:rsidR="0042048E" w:rsidRPr="003A3B3D" w:rsidRDefault="0042048E" w:rsidP="0042048E">
      <w:pPr>
        <w:rPr>
          <w:lang w:val="en-US"/>
        </w:rPr>
      </w:pPr>
      <w:r w:rsidRPr="003A3B3D">
        <w:rPr>
          <w:lang w:val="en-US"/>
        </w:rPr>
        <w:t>X-ray diffraction (XRD) revealed that both samples consist</w:t>
      </w:r>
      <w:r w:rsidR="008277AC" w:rsidRPr="003A3B3D">
        <w:rPr>
          <w:lang w:val="en-US"/>
        </w:rPr>
        <w:t>ed</w:t>
      </w:r>
      <w:r w:rsidRPr="003A3B3D">
        <w:rPr>
          <w:lang w:val="en-US"/>
        </w:rPr>
        <w:t xml:space="preserve"> of two phases: a primary phase with</w:t>
      </w:r>
      <w:r w:rsidR="00A0087B" w:rsidRPr="003A3B3D">
        <w:rPr>
          <w:lang w:val="en-US"/>
        </w:rPr>
        <w:t xml:space="preserve"> </w:t>
      </w:r>
      <w:r w:rsidRPr="003A3B3D">
        <w:rPr>
          <w:lang w:val="en-US"/>
        </w:rPr>
        <w:t>Cr</w:t>
      </w:r>
      <w:r w:rsidR="00B02A80" w:rsidRPr="003A3B3D">
        <w:rPr>
          <w:vertAlign w:val="subscript"/>
          <w:lang w:val="en-US"/>
        </w:rPr>
        <w:t>2</w:t>
      </w:r>
      <w:r w:rsidRPr="003A3B3D">
        <w:rPr>
          <w:lang w:val="en-US"/>
        </w:rPr>
        <w:t xml:space="preserve">AlC-type structure and a secondary </w:t>
      </w:r>
      <w:proofErr w:type="spellStart"/>
      <w:r w:rsidRPr="003A3B3D">
        <w:rPr>
          <w:lang w:val="en-US"/>
        </w:rPr>
        <w:t>TiC</w:t>
      </w:r>
      <w:proofErr w:type="spellEnd"/>
      <w:r w:rsidRPr="003A3B3D">
        <w:rPr>
          <w:lang w:val="en-US"/>
        </w:rPr>
        <w:t xml:space="preserve"> phase. For the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22</w:t>
      </w:r>
      <w:r w:rsidR="00B02A80" w:rsidRPr="003A3B3D">
        <w:rPr>
          <w:lang w:val="en-US"/>
        </w:rPr>
        <w:t xml:space="preserve"> </w:t>
      </w:r>
      <w:r w:rsidRPr="003A3B3D">
        <w:rPr>
          <w:lang w:val="en-US"/>
        </w:rPr>
        <w:t>sample, the primary phase constitute</w:t>
      </w:r>
      <w:r w:rsidR="008277AC" w:rsidRPr="003A3B3D">
        <w:rPr>
          <w:lang w:val="en-US"/>
        </w:rPr>
        <w:t>d</w:t>
      </w:r>
      <w:r w:rsidRPr="003A3B3D">
        <w:rPr>
          <w:lang w:val="en-US"/>
        </w:rPr>
        <w:t xml:space="preserve"> 97.4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>wt</w:t>
      </w:r>
      <w:r w:rsidR="00A0087B" w:rsidRPr="003A3B3D">
        <w:rPr>
          <w:lang w:val="en-US"/>
        </w:rPr>
        <w:t>.</w:t>
      </w:r>
      <w:r w:rsidRPr="003A3B3D">
        <w:rPr>
          <w:lang w:val="en-US"/>
        </w:rPr>
        <w:t xml:space="preserve">%, while </w:t>
      </w:r>
      <w:proofErr w:type="spellStart"/>
      <w:r w:rsidRPr="003A3B3D">
        <w:rPr>
          <w:lang w:val="en-US"/>
        </w:rPr>
        <w:t>TiC</w:t>
      </w:r>
      <w:proofErr w:type="spellEnd"/>
      <w:r w:rsidRPr="003A3B3D">
        <w:rPr>
          <w:lang w:val="en-US"/>
        </w:rPr>
        <w:t xml:space="preserve"> account</w:t>
      </w:r>
      <w:r w:rsidR="008277AC" w:rsidRPr="003A3B3D">
        <w:rPr>
          <w:lang w:val="en-US"/>
        </w:rPr>
        <w:t>ed</w:t>
      </w:r>
      <w:r w:rsidRPr="003A3B3D">
        <w:rPr>
          <w:lang w:val="en-US"/>
        </w:rPr>
        <w:t xml:space="preserve"> for 2.6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>wt</w:t>
      </w:r>
      <w:r w:rsidR="00A0087B" w:rsidRPr="003A3B3D">
        <w:rPr>
          <w:lang w:val="en-US"/>
        </w:rPr>
        <w:t>.</w:t>
      </w:r>
      <w:r w:rsidRPr="003A3B3D">
        <w:rPr>
          <w:lang w:val="en-US"/>
        </w:rPr>
        <w:t xml:space="preserve">%. </w:t>
      </w:r>
      <w:r w:rsidR="008277AC" w:rsidRPr="003A3B3D">
        <w:rPr>
          <w:lang w:val="en-US"/>
        </w:rPr>
        <w:t>T</w:t>
      </w:r>
      <w:r w:rsidRPr="003A3B3D">
        <w:rPr>
          <w:lang w:val="en-US"/>
        </w:rPr>
        <w:t xml:space="preserve">he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30</w:t>
      </w:r>
      <w:r w:rsidR="00B02A80" w:rsidRPr="003A3B3D">
        <w:rPr>
          <w:lang w:val="en-US"/>
        </w:rPr>
        <w:t xml:space="preserve"> </w:t>
      </w:r>
      <w:r w:rsidRPr="003A3B3D">
        <w:rPr>
          <w:lang w:val="en-US"/>
        </w:rPr>
        <w:t>sample contain</w:t>
      </w:r>
      <w:r w:rsidR="008277AC" w:rsidRPr="003A3B3D">
        <w:rPr>
          <w:lang w:val="en-US"/>
        </w:rPr>
        <w:t>ed</w:t>
      </w:r>
      <w:r w:rsidRPr="003A3B3D">
        <w:rPr>
          <w:lang w:val="en-US"/>
        </w:rPr>
        <w:t xml:space="preserve"> 85.2</w:t>
      </w:r>
      <w:r w:rsidR="003A3B3D" w:rsidRPr="003A3B3D">
        <w:rPr>
          <w:lang w:val="uk-UA"/>
        </w:rPr>
        <w:t> </w:t>
      </w:r>
      <w:r w:rsidRPr="003A3B3D">
        <w:rPr>
          <w:lang w:val="en-US"/>
        </w:rPr>
        <w:t>wt</w:t>
      </w:r>
      <w:r w:rsidR="008277AC" w:rsidRPr="003A3B3D">
        <w:rPr>
          <w:lang w:val="en-US"/>
        </w:rPr>
        <w:t>.</w:t>
      </w:r>
      <w:r w:rsidRPr="003A3B3D">
        <w:rPr>
          <w:lang w:val="en-US"/>
        </w:rPr>
        <w:t>% of the primary phase and 14.8 wt</w:t>
      </w:r>
      <w:r w:rsidR="00A0087B" w:rsidRPr="003A3B3D">
        <w:rPr>
          <w:lang w:val="en-US"/>
        </w:rPr>
        <w:t>.</w:t>
      </w:r>
      <w:r w:rsidRPr="003A3B3D">
        <w:rPr>
          <w:lang w:val="en-US"/>
        </w:rPr>
        <w:t xml:space="preserve">% </w:t>
      </w:r>
      <w:proofErr w:type="spellStart"/>
      <w:r w:rsidRPr="003A3B3D">
        <w:rPr>
          <w:lang w:val="en-US"/>
        </w:rPr>
        <w:t>TiC</w:t>
      </w:r>
      <w:proofErr w:type="spellEnd"/>
      <w:r w:rsidRPr="003A3B3D">
        <w:rPr>
          <w:lang w:val="en-US"/>
        </w:rPr>
        <w:t xml:space="preserve">. The presence of these two phases was further confirmed by energy-dispersive X-ray spectroscopy (EDX), which also provided insights into the elemental composition, particularly the Al-to-Ga ratio. According to EDX data, the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14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22</w:t>
      </w:r>
      <w:r w:rsidR="00B02A80" w:rsidRPr="003A3B3D">
        <w:rPr>
          <w:lang w:val="en-US"/>
        </w:rPr>
        <w:t xml:space="preserve"> </w:t>
      </w:r>
      <w:r w:rsidRPr="003A3B3D">
        <w:rPr>
          <w:lang w:val="en-US"/>
        </w:rPr>
        <w:t>sample ha</w:t>
      </w:r>
      <w:r w:rsidR="008277AC" w:rsidRPr="003A3B3D">
        <w:rPr>
          <w:lang w:val="en-US"/>
        </w:rPr>
        <w:t>d</w:t>
      </w:r>
      <w:r w:rsidRPr="003A3B3D">
        <w:rPr>
          <w:lang w:val="en-US"/>
        </w:rPr>
        <w:t xml:space="preserve"> an approximate elemental ratio of </w:t>
      </w:r>
      <w:proofErr w:type="spellStart"/>
      <w:r w:rsidRPr="003A3B3D">
        <w:rPr>
          <w:lang w:val="en-US"/>
        </w:rPr>
        <w:t>Ti:</w:t>
      </w:r>
      <w:proofErr w:type="gramStart"/>
      <w:r w:rsidRPr="003A3B3D">
        <w:rPr>
          <w:lang w:val="en-US"/>
        </w:rPr>
        <w:t>Al:Ga</w:t>
      </w:r>
      <w:proofErr w:type="gramEnd"/>
      <w:r w:rsidRPr="003A3B3D">
        <w:rPr>
          <w:lang w:val="en-US"/>
        </w:rPr>
        <w:t>:C</w:t>
      </w:r>
      <w:proofErr w:type="spellEnd"/>
      <w:r w:rsidR="004864CA" w:rsidRPr="003A3B3D">
        <w:rPr>
          <w:lang w:val="en-US"/>
        </w:rPr>
        <w:t> </w:t>
      </w:r>
      <w:r w:rsidRPr="003A3B3D">
        <w:rPr>
          <w:lang w:val="en-US"/>
        </w:rPr>
        <w:t>=</w:t>
      </w:r>
      <w:r w:rsidR="004864CA" w:rsidRPr="003A3B3D">
        <w:rPr>
          <w:lang w:val="en-US"/>
        </w:rPr>
        <w:t> </w:t>
      </w:r>
      <w:r w:rsidRPr="003A3B3D">
        <w:rPr>
          <w:lang w:val="en-US"/>
        </w:rPr>
        <w:t xml:space="preserve">50.9:12.7:9.4:27.0, while the </w:t>
      </w:r>
      <w:r w:rsidR="00B02A80" w:rsidRPr="003A3B3D">
        <w:rPr>
          <w:lang w:val="en-US"/>
        </w:rPr>
        <w:t>Ti</w:t>
      </w:r>
      <w:r w:rsidR="00B02A80" w:rsidRPr="003A3B3D">
        <w:rPr>
          <w:vertAlign w:val="subscript"/>
          <w:lang w:val="en-US"/>
        </w:rPr>
        <w:t>50</w:t>
      </w:r>
      <w:r w:rsidR="00B02A80" w:rsidRPr="003A3B3D">
        <w:rPr>
          <w:lang w:val="en-US"/>
        </w:rPr>
        <w:t>Al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Ga</w:t>
      </w:r>
      <w:r w:rsidR="00B02A80" w:rsidRPr="003A3B3D">
        <w:rPr>
          <w:vertAlign w:val="subscript"/>
          <w:lang w:val="en-US"/>
        </w:rPr>
        <w:t>10</w:t>
      </w:r>
      <w:r w:rsidR="00B02A80" w:rsidRPr="003A3B3D">
        <w:rPr>
          <w:lang w:val="en-US"/>
        </w:rPr>
        <w:t>C</w:t>
      </w:r>
      <w:r w:rsidR="00B02A80" w:rsidRPr="003A3B3D">
        <w:rPr>
          <w:vertAlign w:val="subscript"/>
          <w:lang w:val="en-US"/>
        </w:rPr>
        <w:t>30</w:t>
      </w:r>
      <w:r w:rsidR="00B02A80" w:rsidRPr="003A3B3D">
        <w:rPr>
          <w:lang w:val="en-US"/>
        </w:rPr>
        <w:t xml:space="preserve"> </w:t>
      </w:r>
      <w:r w:rsidRPr="003A3B3D">
        <w:rPr>
          <w:lang w:val="en-US"/>
        </w:rPr>
        <w:t>sample show</w:t>
      </w:r>
      <w:r w:rsidR="008277AC" w:rsidRPr="003A3B3D">
        <w:rPr>
          <w:lang w:val="en-US"/>
        </w:rPr>
        <w:t>ed</w:t>
      </w:r>
      <w:r w:rsidRPr="003A3B3D">
        <w:rPr>
          <w:lang w:val="en-US"/>
        </w:rPr>
        <w:t xml:space="preserve"> a ratio of 44.6:8.2:6.5:40.7. Although EDX is less accurate for quantifying carbon</w:t>
      </w:r>
      <w:r w:rsidR="008277AC" w:rsidRPr="003A3B3D">
        <w:rPr>
          <w:lang w:val="en-US"/>
        </w:rPr>
        <w:t>,</w:t>
      </w:r>
      <w:r w:rsidRPr="003A3B3D">
        <w:rPr>
          <w:lang w:val="en-US"/>
        </w:rPr>
        <w:t xml:space="preserve"> due to its low sensitivity to light elements, the </w:t>
      </w:r>
      <w:r w:rsidR="008277AC" w:rsidRPr="003A3B3D">
        <w:rPr>
          <w:lang w:val="en-US"/>
        </w:rPr>
        <w:t>method</w:t>
      </w:r>
      <w:r w:rsidRPr="003A3B3D">
        <w:rPr>
          <w:lang w:val="en-US"/>
        </w:rPr>
        <w:t xml:space="preserve"> still provide</w:t>
      </w:r>
      <w:r w:rsidR="008277AC" w:rsidRPr="003A3B3D">
        <w:rPr>
          <w:lang w:val="en-US"/>
        </w:rPr>
        <w:t>s</w:t>
      </w:r>
      <w:r w:rsidRPr="003A3B3D">
        <w:rPr>
          <w:lang w:val="en-US"/>
        </w:rPr>
        <w:t xml:space="preserve"> useful in</w:t>
      </w:r>
      <w:r w:rsidR="008277AC" w:rsidRPr="003A3B3D">
        <w:rPr>
          <w:lang w:val="en-US"/>
        </w:rPr>
        <w:t>formation about</w:t>
      </w:r>
      <w:r w:rsidRPr="003A3B3D">
        <w:rPr>
          <w:lang w:val="en-US"/>
        </w:rPr>
        <w:t xml:space="preserve"> phase purity and compositional trends.</w:t>
      </w:r>
    </w:p>
    <w:p w14:paraId="330ABC24" w14:textId="7B8E73C4" w:rsidR="004114B1" w:rsidRPr="003A3B3D" w:rsidRDefault="008824F9" w:rsidP="00AA66E6">
      <w:pPr>
        <w:rPr>
          <w:lang w:val="en-US"/>
        </w:rPr>
      </w:pPr>
      <w:r w:rsidRPr="003A3B3D">
        <w:rPr>
          <w:lang w:val="en-US"/>
        </w:rPr>
        <w:t>C</w:t>
      </w:r>
      <w:r w:rsidR="004950C1" w:rsidRPr="003A3B3D">
        <w:rPr>
          <w:lang w:val="en-US"/>
        </w:rPr>
        <w:t xml:space="preserve">rystallographic data for </w:t>
      </w:r>
      <w:r w:rsidRPr="003A3B3D">
        <w:rPr>
          <w:lang w:val="en-US"/>
        </w:rPr>
        <w:t xml:space="preserve">the </w:t>
      </w:r>
      <w:r w:rsidR="004950C1" w:rsidRPr="003A3B3D">
        <w:rPr>
          <w:lang w:val="en-US"/>
        </w:rPr>
        <w:t xml:space="preserve">samples </w:t>
      </w:r>
      <w:r w:rsidRPr="003A3B3D">
        <w:rPr>
          <w:lang w:val="en-US"/>
        </w:rPr>
        <w:t xml:space="preserve">are </w:t>
      </w:r>
      <w:r w:rsidR="004950C1" w:rsidRPr="003A3B3D">
        <w:rPr>
          <w:lang w:val="en-US"/>
        </w:rPr>
        <w:t>present</w:t>
      </w:r>
      <w:r w:rsidR="008277AC" w:rsidRPr="003A3B3D">
        <w:rPr>
          <w:lang w:val="en-US"/>
        </w:rPr>
        <w:t>ed</w:t>
      </w:r>
      <w:r w:rsidR="004950C1" w:rsidRPr="003A3B3D">
        <w:rPr>
          <w:lang w:val="en-US"/>
        </w:rPr>
        <w:t xml:space="preserve"> in </w:t>
      </w:r>
      <w:r w:rsidR="008277AC" w:rsidRPr="003A3B3D">
        <w:rPr>
          <w:lang w:val="en-US"/>
        </w:rPr>
        <w:t>T</w:t>
      </w:r>
      <w:r w:rsidR="004950C1" w:rsidRPr="003A3B3D">
        <w:rPr>
          <w:lang w:val="en-US"/>
        </w:rPr>
        <w:t>able 1.</w:t>
      </w:r>
    </w:p>
    <w:p w14:paraId="3DE06E72" w14:textId="2C987BE8" w:rsidR="004950C1" w:rsidRPr="003A3B3D" w:rsidRDefault="000D38AB" w:rsidP="00BC29D7">
      <w:pPr>
        <w:pStyle w:val="6"/>
        <w:rPr>
          <w:bCs w:val="0"/>
          <w:szCs w:val="20"/>
          <w:lang w:val="en-US"/>
        </w:rPr>
      </w:pPr>
      <w:r w:rsidRPr="003A3B3D">
        <w:rPr>
          <w:b/>
          <w:sz w:val="18"/>
          <w:szCs w:val="20"/>
          <w:lang w:val="en-US"/>
        </w:rPr>
        <w:t>Table</w:t>
      </w:r>
      <w:r w:rsidR="000F0466" w:rsidRPr="003A3B3D">
        <w:rPr>
          <w:b/>
          <w:sz w:val="18"/>
          <w:szCs w:val="20"/>
          <w:lang w:val="en-US"/>
        </w:rPr>
        <w:t xml:space="preserve"> 1.</w:t>
      </w:r>
      <w:r w:rsidR="000F0466" w:rsidRPr="003A3B3D">
        <w:rPr>
          <w:sz w:val="18"/>
          <w:szCs w:val="20"/>
          <w:lang w:val="en-US"/>
        </w:rPr>
        <w:t xml:space="preserve"> </w:t>
      </w:r>
      <w:r w:rsidR="008824F9" w:rsidRPr="003A3B3D">
        <w:rPr>
          <w:sz w:val="18"/>
          <w:szCs w:val="20"/>
          <w:lang w:val="en-US"/>
        </w:rPr>
        <w:t>C</w:t>
      </w:r>
      <w:r w:rsidR="008106EF" w:rsidRPr="003A3B3D">
        <w:rPr>
          <w:sz w:val="18"/>
          <w:szCs w:val="20"/>
          <w:lang w:val="en-US"/>
        </w:rPr>
        <w:t xml:space="preserve">rystallographic data </w:t>
      </w:r>
      <w:r w:rsidR="00B97593" w:rsidRPr="003A3B3D">
        <w:rPr>
          <w:sz w:val="18"/>
          <w:szCs w:val="20"/>
          <w:lang w:val="en-US"/>
        </w:rPr>
        <w:t xml:space="preserve">of the compound </w:t>
      </w:r>
      <w:r w:rsidR="008824F9" w:rsidRPr="003A3B3D">
        <w:rPr>
          <w:sz w:val="18"/>
          <w:szCs w:val="20"/>
          <w:lang w:val="en-US"/>
        </w:rPr>
        <w:t>with</w:t>
      </w:r>
      <w:r w:rsidR="00B97593" w:rsidRPr="003A3B3D">
        <w:rPr>
          <w:sz w:val="18"/>
          <w:szCs w:val="20"/>
          <w:lang w:val="en-US"/>
        </w:rPr>
        <w:t xml:space="preserve"> </w:t>
      </w:r>
      <w:r w:rsidR="00B97593" w:rsidRPr="003A3B3D">
        <w:rPr>
          <w:sz w:val="18"/>
          <w:szCs w:val="18"/>
          <w:lang w:val="en-US"/>
        </w:rPr>
        <w:t>Cr</w:t>
      </w:r>
      <w:r w:rsidR="00FB6752" w:rsidRPr="003A3B3D">
        <w:rPr>
          <w:sz w:val="18"/>
          <w:szCs w:val="18"/>
          <w:vertAlign w:val="subscript"/>
          <w:lang w:val="en-US"/>
        </w:rPr>
        <w:t>2</w:t>
      </w:r>
      <w:r w:rsidR="00B97593" w:rsidRPr="003A3B3D">
        <w:rPr>
          <w:sz w:val="18"/>
          <w:szCs w:val="18"/>
          <w:lang w:val="en-US"/>
        </w:rPr>
        <w:t xml:space="preserve">AlC-type structure </w:t>
      </w:r>
      <w:r w:rsidR="00BC29D7" w:rsidRPr="003A3B3D">
        <w:rPr>
          <w:sz w:val="18"/>
          <w:szCs w:val="18"/>
          <w:lang w:val="en-US"/>
        </w:rPr>
        <w:br/>
      </w:r>
      <w:r w:rsidR="00B97593" w:rsidRPr="003A3B3D">
        <w:rPr>
          <w:sz w:val="18"/>
          <w:szCs w:val="18"/>
          <w:lang w:val="en-US"/>
        </w:rPr>
        <w:t>(</w:t>
      </w:r>
      <w:r w:rsidR="00FB6752" w:rsidRPr="003A3B3D">
        <w:rPr>
          <w:sz w:val="18"/>
          <w:szCs w:val="18"/>
          <w:lang w:val="en-US"/>
        </w:rPr>
        <w:t>Pearson symbol</w:t>
      </w:r>
      <w:r w:rsidR="00B97593" w:rsidRPr="003A3B3D">
        <w:rPr>
          <w:sz w:val="18"/>
          <w:szCs w:val="18"/>
          <w:lang w:val="en-US"/>
        </w:rPr>
        <w:t xml:space="preserve"> </w:t>
      </w:r>
      <w:r w:rsidR="00B97593" w:rsidRPr="003A3B3D">
        <w:rPr>
          <w:i/>
          <w:iCs/>
          <w:sz w:val="18"/>
          <w:szCs w:val="18"/>
          <w:lang w:val="en-US"/>
        </w:rPr>
        <w:t>hP</w:t>
      </w:r>
      <w:r w:rsidR="00B97593" w:rsidRPr="003A3B3D">
        <w:rPr>
          <w:sz w:val="18"/>
          <w:szCs w:val="18"/>
          <w:lang w:val="en-US"/>
        </w:rPr>
        <w:t xml:space="preserve">8, </w:t>
      </w:r>
      <w:r w:rsidR="00FB6752" w:rsidRPr="003A3B3D">
        <w:rPr>
          <w:sz w:val="18"/>
          <w:szCs w:val="18"/>
          <w:lang w:val="en-US"/>
        </w:rPr>
        <w:t>space group</w:t>
      </w:r>
      <w:r w:rsidR="00B97593" w:rsidRPr="003A3B3D">
        <w:rPr>
          <w:sz w:val="18"/>
          <w:szCs w:val="18"/>
          <w:lang w:val="en-US"/>
        </w:rPr>
        <w:t xml:space="preserve"> </w:t>
      </w:r>
      <w:r w:rsidR="00B97593" w:rsidRPr="003A3B3D">
        <w:rPr>
          <w:i/>
          <w:iCs/>
          <w:sz w:val="18"/>
          <w:szCs w:val="18"/>
          <w:lang w:val="en-US"/>
        </w:rPr>
        <w:t>P</w:t>
      </w:r>
      <w:r w:rsidR="00B97593" w:rsidRPr="003A3B3D">
        <w:rPr>
          <w:sz w:val="18"/>
          <w:szCs w:val="18"/>
          <w:lang w:val="en-US"/>
        </w:rPr>
        <w:t>6</w:t>
      </w:r>
      <w:r w:rsidR="00B97593" w:rsidRPr="003A3B3D">
        <w:rPr>
          <w:sz w:val="18"/>
          <w:szCs w:val="18"/>
          <w:vertAlign w:val="subscript"/>
          <w:lang w:val="en-US"/>
        </w:rPr>
        <w:t>3</w:t>
      </w:r>
      <w:r w:rsidR="00B97593" w:rsidRPr="003A3B3D">
        <w:rPr>
          <w:iCs/>
          <w:sz w:val="18"/>
          <w:szCs w:val="18"/>
          <w:lang w:val="en-US"/>
        </w:rPr>
        <w:t>/</w:t>
      </w:r>
      <w:r w:rsidR="00B97593" w:rsidRPr="003A3B3D">
        <w:rPr>
          <w:i/>
          <w:iCs/>
          <w:sz w:val="18"/>
          <w:szCs w:val="18"/>
          <w:lang w:val="en-US"/>
        </w:rPr>
        <w:t>mmc</w:t>
      </w:r>
      <w:r w:rsidR="00B97593" w:rsidRPr="003A3B3D">
        <w:rPr>
          <w:sz w:val="18"/>
          <w:szCs w:val="18"/>
          <w:lang w:val="en-US"/>
        </w:rPr>
        <w:t>)</w:t>
      </w:r>
      <w:r w:rsidR="00B97593" w:rsidRPr="003A3B3D">
        <w:rPr>
          <w:sz w:val="18"/>
          <w:szCs w:val="20"/>
          <w:lang w:val="en-US"/>
        </w:rPr>
        <w:t xml:space="preserve"> </w:t>
      </w:r>
      <w:r w:rsidR="008106EF" w:rsidRPr="003A3B3D">
        <w:rPr>
          <w:sz w:val="18"/>
          <w:szCs w:val="20"/>
          <w:lang w:val="en-US"/>
        </w:rPr>
        <w:t xml:space="preserve">for samples </w:t>
      </w:r>
      <w:r w:rsidR="00FB6752" w:rsidRPr="003A3B3D">
        <w:rPr>
          <w:sz w:val="18"/>
          <w:szCs w:val="20"/>
          <w:lang w:val="en-US"/>
        </w:rPr>
        <w:t>Ti</w:t>
      </w:r>
      <w:r w:rsidR="00FB6752" w:rsidRPr="003A3B3D">
        <w:rPr>
          <w:sz w:val="18"/>
          <w:szCs w:val="20"/>
          <w:vertAlign w:val="subscript"/>
          <w:lang w:val="en-US"/>
        </w:rPr>
        <w:t>50</w:t>
      </w:r>
      <w:r w:rsidR="00FB6752" w:rsidRPr="003A3B3D">
        <w:rPr>
          <w:sz w:val="18"/>
          <w:szCs w:val="20"/>
          <w:lang w:val="en-US"/>
        </w:rPr>
        <w:t>Al</w:t>
      </w:r>
      <w:r w:rsidR="00FB6752" w:rsidRPr="003A3B3D">
        <w:rPr>
          <w:sz w:val="18"/>
          <w:szCs w:val="20"/>
          <w:vertAlign w:val="subscript"/>
          <w:lang w:val="en-US"/>
        </w:rPr>
        <w:t>14</w:t>
      </w:r>
      <w:r w:rsidR="00FB6752" w:rsidRPr="003A3B3D">
        <w:rPr>
          <w:sz w:val="18"/>
          <w:szCs w:val="20"/>
          <w:lang w:val="en-US"/>
        </w:rPr>
        <w:t>Ga</w:t>
      </w:r>
      <w:r w:rsidR="00FB6752" w:rsidRPr="003A3B3D">
        <w:rPr>
          <w:sz w:val="18"/>
          <w:szCs w:val="20"/>
          <w:vertAlign w:val="subscript"/>
          <w:lang w:val="en-US"/>
        </w:rPr>
        <w:t>14</w:t>
      </w:r>
      <w:r w:rsidR="00FB6752" w:rsidRPr="003A3B3D">
        <w:rPr>
          <w:sz w:val="18"/>
          <w:szCs w:val="20"/>
          <w:lang w:val="en-US"/>
        </w:rPr>
        <w:t>C</w:t>
      </w:r>
      <w:r w:rsidR="00FB6752" w:rsidRPr="003A3B3D">
        <w:rPr>
          <w:sz w:val="18"/>
          <w:szCs w:val="20"/>
          <w:vertAlign w:val="subscript"/>
          <w:lang w:val="en-US"/>
        </w:rPr>
        <w:t>22</w:t>
      </w:r>
      <w:r w:rsidR="00FB6752" w:rsidRPr="003A3B3D">
        <w:rPr>
          <w:sz w:val="18"/>
          <w:szCs w:val="20"/>
          <w:lang w:val="en-US"/>
        </w:rPr>
        <w:t xml:space="preserve"> </w:t>
      </w:r>
      <w:r w:rsidR="008106EF" w:rsidRPr="003A3B3D">
        <w:rPr>
          <w:sz w:val="18"/>
          <w:szCs w:val="20"/>
          <w:lang w:val="en-US"/>
        </w:rPr>
        <w:t xml:space="preserve">and </w:t>
      </w:r>
      <w:r w:rsidR="00B02A80" w:rsidRPr="003A3B3D">
        <w:rPr>
          <w:sz w:val="18"/>
          <w:szCs w:val="18"/>
          <w:lang w:val="en-US"/>
        </w:rPr>
        <w:t>Ti</w:t>
      </w:r>
      <w:r w:rsidR="00B02A80" w:rsidRPr="003A3B3D">
        <w:rPr>
          <w:sz w:val="18"/>
          <w:szCs w:val="18"/>
          <w:vertAlign w:val="subscript"/>
          <w:lang w:val="en-US"/>
        </w:rPr>
        <w:t>50</w:t>
      </w:r>
      <w:r w:rsidR="00B02A80" w:rsidRPr="003A3B3D">
        <w:rPr>
          <w:sz w:val="18"/>
          <w:szCs w:val="18"/>
          <w:lang w:val="en-US"/>
        </w:rPr>
        <w:t>Al</w:t>
      </w:r>
      <w:r w:rsidR="00B02A80" w:rsidRPr="003A3B3D">
        <w:rPr>
          <w:sz w:val="18"/>
          <w:szCs w:val="18"/>
          <w:vertAlign w:val="subscript"/>
          <w:lang w:val="en-US"/>
        </w:rPr>
        <w:t>10</w:t>
      </w:r>
      <w:r w:rsidR="00B02A80" w:rsidRPr="003A3B3D">
        <w:rPr>
          <w:sz w:val="18"/>
          <w:szCs w:val="18"/>
          <w:lang w:val="en-US"/>
        </w:rPr>
        <w:t>Ga</w:t>
      </w:r>
      <w:r w:rsidR="00B02A80" w:rsidRPr="003A3B3D">
        <w:rPr>
          <w:sz w:val="18"/>
          <w:szCs w:val="18"/>
          <w:vertAlign w:val="subscript"/>
          <w:lang w:val="en-US"/>
        </w:rPr>
        <w:t>10</w:t>
      </w:r>
      <w:r w:rsidR="00B02A80" w:rsidRPr="003A3B3D">
        <w:rPr>
          <w:sz w:val="18"/>
          <w:szCs w:val="18"/>
          <w:lang w:val="en-US"/>
        </w:rPr>
        <w:t>C</w:t>
      </w:r>
      <w:r w:rsidR="00B02A80" w:rsidRPr="003A3B3D">
        <w:rPr>
          <w:sz w:val="18"/>
          <w:szCs w:val="18"/>
          <w:vertAlign w:val="subscript"/>
          <w:lang w:val="en-US"/>
        </w:rPr>
        <w:t>30</w:t>
      </w:r>
      <w:r w:rsidR="0096263F">
        <w:rPr>
          <w:bCs w:val="0"/>
          <w:szCs w:val="20"/>
          <w:lang w:val="en-US"/>
        </w:rPr>
        <w:pict w14:anchorId="44C40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left:0;text-align:left;margin-left:0;margin-top:0;width:50pt;height:50pt;z-index:1;visibility:hidden;mso-position-horizontal-relative:text;mso-position-vertical-relative:text">
            <o:lock v:ext="edit" selection="t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873"/>
        <w:gridCol w:w="698"/>
        <w:gridCol w:w="698"/>
        <w:gridCol w:w="1716"/>
        <w:gridCol w:w="961"/>
        <w:gridCol w:w="256"/>
        <w:gridCol w:w="685"/>
        <w:gridCol w:w="685"/>
        <w:gridCol w:w="1873"/>
        <w:gridCol w:w="961"/>
      </w:tblGrid>
      <w:tr w:rsidR="00CC35B3" w:rsidRPr="003A3B3D" w14:paraId="2B2FD41E" w14:textId="1686C389" w:rsidTr="00CC35B3">
        <w:tc>
          <w:tcPr>
            <w:tcW w:w="1127" w:type="pct"/>
            <w:gridSpan w:val="2"/>
            <w:shd w:val="clear" w:color="auto" w:fill="auto"/>
          </w:tcPr>
          <w:p w14:paraId="65F9DC2F" w14:textId="77777777" w:rsidR="00CC35B3" w:rsidRPr="003A3B3D" w:rsidRDefault="00CC35B3" w:rsidP="000F0466">
            <w:pPr>
              <w:spacing w:after="80"/>
              <w:rPr>
                <w:lang w:val="en-US"/>
              </w:rPr>
            </w:pPr>
            <w:r w:rsidRPr="003A3B3D">
              <w:rPr>
                <w:lang w:val="en-US"/>
              </w:rPr>
              <w:t>Sample</w:t>
            </w:r>
          </w:p>
        </w:tc>
        <w:tc>
          <w:tcPr>
            <w:tcW w:w="1849" w:type="pct"/>
            <w:gridSpan w:val="4"/>
            <w:shd w:val="clear" w:color="auto" w:fill="auto"/>
            <w:vAlign w:val="center"/>
          </w:tcPr>
          <w:p w14:paraId="281AA251" w14:textId="60259A97" w:rsidR="00CC35B3" w:rsidRPr="003A3B3D" w:rsidRDefault="00CC35B3" w:rsidP="00CC35B3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Ti</w:t>
            </w:r>
            <w:r w:rsidRPr="003A3B3D">
              <w:rPr>
                <w:vertAlign w:val="subscript"/>
                <w:lang w:val="en-US"/>
              </w:rPr>
              <w:t>50</w:t>
            </w:r>
            <w:r w:rsidRPr="003A3B3D">
              <w:rPr>
                <w:lang w:val="en-US"/>
              </w:rPr>
              <w:t>Al</w:t>
            </w:r>
            <w:r w:rsidRPr="003A3B3D">
              <w:rPr>
                <w:vertAlign w:val="subscript"/>
                <w:lang w:val="en-US"/>
              </w:rPr>
              <w:t>14</w:t>
            </w:r>
            <w:r w:rsidRPr="003A3B3D">
              <w:rPr>
                <w:lang w:val="en-US"/>
              </w:rPr>
              <w:t>Ga</w:t>
            </w:r>
            <w:r w:rsidRPr="003A3B3D">
              <w:rPr>
                <w:vertAlign w:val="subscript"/>
                <w:lang w:val="en-US"/>
              </w:rPr>
              <w:t>14</w:t>
            </w:r>
            <w:r w:rsidRPr="003A3B3D">
              <w:rPr>
                <w:lang w:val="en-US"/>
              </w:rPr>
              <w:t>C</w:t>
            </w:r>
            <w:r w:rsidRPr="003A3B3D">
              <w:rPr>
                <w:vertAlign w:val="subscript"/>
                <w:lang w:val="en-US"/>
              </w:rPr>
              <w:t>22</w:t>
            </w:r>
          </w:p>
        </w:tc>
        <w:tc>
          <w:tcPr>
            <w:tcW w:w="116" w:type="pct"/>
            <w:vMerge w:val="restart"/>
            <w:shd w:val="clear" w:color="auto" w:fill="auto"/>
          </w:tcPr>
          <w:p w14:paraId="16817D24" w14:textId="1E9DD5AA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1908" w:type="pct"/>
            <w:gridSpan w:val="4"/>
            <w:shd w:val="clear" w:color="auto" w:fill="auto"/>
            <w:vAlign w:val="center"/>
          </w:tcPr>
          <w:p w14:paraId="4B081159" w14:textId="5C8F5060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Ti</w:t>
            </w:r>
            <w:r w:rsidRPr="003A3B3D">
              <w:rPr>
                <w:vertAlign w:val="subscript"/>
                <w:lang w:val="en-US"/>
              </w:rPr>
              <w:t>50</w:t>
            </w:r>
            <w:r w:rsidRPr="003A3B3D">
              <w:rPr>
                <w:lang w:val="en-US"/>
              </w:rPr>
              <w:t>Al</w:t>
            </w:r>
            <w:r w:rsidRPr="003A3B3D">
              <w:rPr>
                <w:vertAlign w:val="subscript"/>
                <w:lang w:val="en-US"/>
              </w:rPr>
              <w:t>10</w:t>
            </w:r>
            <w:r w:rsidRPr="003A3B3D">
              <w:rPr>
                <w:lang w:val="en-US"/>
              </w:rPr>
              <w:t>Ga</w:t>
            </w:r>
            <w:r w:rsidRPr="003A3B3D">
              <w:rPr>
                <w:vertAlign w:val="subscript"/>
                <w:lang w:val="en-US"/>
              </w:rPr>
              <w:t>10</w:t>
            </w:r>
            <w:r w:rsidRPr="003A3B3D">
              <w:rPr>
                <w:lang w:val="en-US"/>
              </w:rPr>
              <w:t>C</w:t>
            </w:r>
            <w:r w:rsidRPr="003A3B3D">
              <w:rPr>
                <w:vertAlign w:val="subscript"/>
                <w:lang w:val="en-US"/>
              </w:rPr>
              <w:t>30</w:t>
            </w:r>
          </w:p>
        </w:tc>
      </w:tr>
      <w:tr w:rsidR="00CC35B3" w:rsidRPr="003A3B3D" w14:paraId="7990570D" w14:textId="77777777" w:rsidTr="00CC35B3">
        <w:tc>
          <w:tcPr>
            <w:tcW w:w="1127" w:type="pct"/>
            <w:gridSpan w:val="2"/>
            <w:shd w:val="clear" w:color="auto" w:fill="auto"/>
          </w:tcPr>
          <w:p w14:paraId="3A6654D2" w14:textId="31688A54" w:rsidR="00CC35B3" w:rsidRPr="003A3B3D" w:rsidRDefault="00CC35B3" w:rsidP="000F0466">
            <w:pPr>
              <w:spacing w:after="80"/>
              <w:rPr>
                <w:lang w:val="en-US"/>
              </w:rPr>
            </w:pPr>
            <w:r w:rsidRPr="003A3B3D">
              <w:rPr>
                <w:lang w:val="en-US"/>
              </w:rPr>
              <w:t>Compound</w:t>
            </w:r>
          </w:p>
        </w:tc>
        <w:tc>
          <w:tcPr>
            <w:tcW w:w="1849" w:type="pct"/>
            <w:gridSpan w:val="4"/>
            <w:shd w:val="clear" w:color="auto" w:fill="auto"/>
            <w:vAlign w:val="center"/>
          </w:tcPr>
          <w:p w14:paraId="02D0E126" w14:textId="4805ED14" w:rsidR="00CC35B3" w:rsidRPr="003A3B3D" w:rsidRDefault="00CC35B3" w:rsidP="00BC29D7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Ti</w:t>
            </w:r>
            <w:r w:rsidRPr="003A3B3D">
              <w:rPr>
                <w:vertAlign w:val="subscript"/>
                <w:lang w:val="en-US"/>
              </w:rPr>
              <w:t>2</w:t>
            </w:r>
            <w:r w:rsidRPr="003A3B3D">
              <w:rPr>
                <w:lang w:val="en-US"/>
              </w:rPr>
              <w:t>Al</w:t>
            </w:r>
            <w:r w:rsidRPr="003A3B3D">
              <w:rPr>
                <w:vertAlign w:val="subscript"/>
                <w:lang w:val="en-US"/>
              </w:rPr>
              <w:t>0.3</w:t>
            </w:r>
            <w:r w:rsidR="00BC29D7" w:rsidRPr="003A3B3D">
              <w:rPr>
                <w:vertAlign w:val="subscript"/>
                <w:lang w:val="en-US"/>
              </w:rPr>
              <w:t>9</w:t>
            </w:r>
            <w:r w:rsidRPr="003A3B3D">
              <w:rPr>
                <w:vertAlign w:val="subscript"/>
                <w:lang w:val="en-US"/>
              </w:rPr>
              <w:t>(</w:t>
            </w:r>
            <w:proofErr w:type="gramStart"/>
            <w:r w:rsidR="00BC29D7" w:rsidRPr="003A3B3D">
              <w:rPr>
                <w:vertAlign w:val="subscript"/>
                <w:lang w:val="en-US"/>
              </w:rPr>
              <w:t>1</w:t>
            </w:r>
            <w:r w:rsidRPr="003A3B3D">
              <w:rPr>
                <w:vertAlign w:val="subscript"/>
                <w:lang w:val="en-US"/>
              </w:rPr>
              <w:t>)</w:t>
            </w:r>
            <w:r w:rsidRPr="003A3B3D">
              <w:rPr>
                <w:lang w:val="en-US"/>
              </w:rPr>
              <w:t>Ga</w:t>
            </w:r>
            <w:proofErr w:type="gramEnd"/>
            <w:r w:rsidRPr="003A3B3D">
              <w:rPr>
                <w:vertAlign w:val="subscript"/>
                <w:lang w:val="en-US"/>
              </w:rPr>
              <w:t>0.61(</w:t>
            </w:r>
            <w:r w:rsidR="00BC29D7" w:rsidRPr="003A3B3D">
              <w:rPr>
                <w:vertAlign w:val="subscript"/>
                <w:lang w:val="en-US"/>
              </w:rPr>
              <w:t>1</w:t>
            </w:r>
            <w:r w:rsidRPr="003A3B3D">
              <w:rPr>
                <w:vertAlign w:val="subscript"/>
                <w:lang w:val="en-US"/>
              </w:rPr>
              <w:t>)</w:t>
            </w:r>
            <w:r w:rsidRPr="003A3B3D">
              <w:rPr>
                <w:lang w:val="en-US"/>
              </w:rPr>
              <w:t>C</w:t>
            </w:r>
          </w:p>
        </w:tc>
        <w:tc>
          <w:tcPr>
            <w:tcW w:w="116" w:type="pct"/>
            <w:vMerge/>
            <w:shd w:val="clear" w:color="auto" w:fill="auto"/>
          </w:tcPr>
          <w:p w14:paraId="225A0EA7" w14:textId="77777777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1908" w:type="pct"/>
            <w:gridSpan w:val="4"/>
            <w:shd w:val="clear" w:color="auto" w:fill="auto"/>
            <w:vAlign w:val="center"/>
          </w:tcPr>
          <w:p w14:paraId="73F0D7B6" w14:textId="1328FF95" w:rsidR="00CC35B3" w:rsidRPr="003A3B3D" w:rsidRDefault="00BC29D7" w:rsidP="00BC29D7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Ti</w:t>
            </w:r>
            <w:r w:rsidRPr="003A3B3D">
              <w:rPr>
                <w:vertAlign w:val="subscript"/>
                <w:lang w:val="en-US"/>
              </w:rPr>
              <w:t>2</w:t>
            </w:r>
            <w:r w:rsidRPr="003A3B3D">
              <w:rPr>
                <w:lang w:val="en-US"/>
              </w:rPr>
              <w:t>Al</w:t>
            </w:r>
            <w:r w:rsidRPr="003A3B3D">
              <w:rPr>
                <w:vertAlign w:val="subscript"/>
                <w:lang w:val="en-US"/>
              </w:rPr>
              <w:t>0.49(</w:t>
            </w:r>
            <w:proofErr w:type="gramStart"/>
            <w:r w:rsidRPr="003A3B3D">
              <w:rPr>
                <w:vertAlign w:val="subscript"/>
                <w:lang w:val="en-US"/>
              </w:rPr>
              <w:t>1)</w:t>
            </w:r>
            <w:r w:rsidRPr="003A3B3D">
              <w:rPr>
                <w:lang w:val="en-US"/>
              </w:rPr>
              <w:t>Ga</w:t>
            </w:r>
            <w:proofErr w:type="gramEnd"/>
            <w:r w:rsidRPr="003A3B3D">
              <w:rPr>
                <w:vertAlign w:val="subscript"/>
                <w:lang w:val="en-US"/>
              </w:rPr>
              <w:t>0.51(1)</w:t>
            </w:r>
            <w:r w:rsidRPr="003A3B3D">
              <w:rPr>
                <w:lang w:val="en-US"/>
              </w:rPr>
              <w:t>C</w:t>
            </w:r>
          </w:p>
        </w:tc>
      </w:tr>
      <w:tr w:rsidR="00CC35B3" w:rsidRPr="003A3B3D" w14:paraId="2D081A12" w14:textId="0F8E4E1D" w:rsidTr="00CC35B3">
        <w:tc>
          <w:tcPr>
            <w:tcW w:w="1127" w:type="pct"/>
            <w:gridSpan w:val="2"/>
            <w:shd w:val="clear" w:color="auto" w:fill="auto"/>
          </w:tcPr>
          <w:p w14:paraId="64E94E80" w14:textId="77777777" w:rsidR="00CC35B3" w:rsidRPr="003A3B3D" w:rsidRDefault="00CC35B3" w:rsidP="000F0466">
            <w:pPr>
              <w:spacing w:after="80"/>
              <w:rPr>
                <w:lang w:val="en-US"/>
              </w:rPr>
            </w:pPr>
            <w:r w:rsidRPr="003A3B3D">
              <w:rPr>
                <w:lang w:val="en-US"/>
              </w:rPr>
              <w:t>Cell parameters, Å</w:t>
            </w:r>
          </w:p>
        </w:tc>
        <w:tc>
          <w:tcPr>
            <w:tcW w:w="1849" w:type="pct"/>
            <w:gridSpan w:val="4"/>
            <w:shd w:val="clear" w:color="auto" w:fill="auto"/>
            <w:vAlign w:val="center"/>
          </w:tcPr>
          <w:p w14:paraId="2A2B60AF" w14:textId="08504A49" w:rsidR="00CC35B3" w:rsidRPr="003A3B3D" w:rsidRDefault="00CC35B3" w:rsidP="00CC35B3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i/>
                <w:iCs/>
                <w:lang w:val="en-US"/>
              </w:rPr>
              <w:t>a</w:t>
            </w:r>
            <w:r w:rsidRPr="003A3B3D">
              <w:rPr>
                <w:lang w:val="en-US"/>
              </w:rPr>
              <w:t xml:space="preserve"> = 3.06147(9), </w:t>
            </w:r>
            <w:r w:rsidRPr="003A3B3D">
              <w:rPr>
                <w:i/>
                <w:iCs/>
                <w:lang w:val="en-US"/>
              </w:rPr>
              <w:t>c</w:t>
            </w:r>
            <w:r w:rsidRPr="003A3B3D">
              <w:rPr>
                <w:lang w:val="en-US"/>
              </w:rPr>
              <w:t xml:space="preserve"> = 13.4590(5)</w:t>
            </w:r>
          </w:p>
        </w:tc>
        <w:tc>
          <w:tcPr>
            <w:tcW w:w="116" w:type="pct"/>
            <w:vMerge/>
            <w:shd w:val="clear" w:color="auto" w:fill="auto"/>
          </w:tcPr>
          <w:p w14:paraId="65FF8B27" w14:textId="20D1C2D0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1908" w:type="pct"/>
            <w:gridSpan w:val="4"/>
            <w:shd w:val="clear" w:color="auto" w:fill="auto"/>
            <w:vAlign w:val="center"/>
          </w:tcPr>
          <w:p w14:paraId="61576CA6" w14:textId="12E6441B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a</w:t>
            </w:r>
            <w:r w:rsidRPr="003A3B3D">
              <w:rPr>
                <w:lang w:val="en-US"/>
              </w:rPr>
              <w:t xml:space="preserve"> = 3.06259(7), </w:t>
            </w:r>
            <w:r w:rsidRPr="003A3B3D">
              <w:rPr>
                <w:i/>
                <w:iCs/>
                <w:lang w:val="en-US"/>
              </w:rPr>
              <w:t>c</w:t>
            </w:r>
            <w:r w:rsidRPr="003A3B3D">
              <w:rPr>
                <w:lang w:val="en-US"/>
              </w:rPr>
              <w:t xml:space="preserve"> = 13.4906(4)</w:t>
            </w:r>
          </w:p>
        </w:tc>
      </w:tr>
      <w:tr w:rsidR="00CC35B3" w:rsidRPr="003A3B3D" w14:paraId="58069317" w14:textId="71F00C65" w:rsidTr="00CC35B3">
        <w:tc>
          <w:tcPr>
            <w:tcW w:w="277" w:type="pct"/>
            <w:shd w:val="clear" w:color="auto" w:fill="auto"/>
            <w:vAlign w:val="center"/>
          </w:tcPr>
          <w:p w14:paraId="2ADCEECB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Site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78C1BBCF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Wyckoff position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B4EDAC7" w14:textId="77777777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x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B2BD165" w14:textId="77777777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y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B0CE602" w14:textId="77777777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z</w:t>
            </w:r>
          </w:p>
        </w:tc>
        <w:tc>
          <w:tcPr>
            <w:tcW w:w="436" w:type="pct"/>
          </w:tcPr>
          <w:p w14:paraId="031E0894" w14:textId="5E99A53A" w:rsidR="00CC35B3" w:rsidRPr="003A3B3D" w:rsidRDefault="00CC35B3" w:rsidP="000F0466">
            <w:pPr>
              <w:spacing w:after="80"/>
              <w:rPr>
                <w:lang w:val="en-US"/>
              </w:rPr>
            </w:pPr>
            <w:r w:rsidRPr="003A3B3D">
              <w:rPr>
                <w:i/>
                <w:lang w:val="en-US"/>
              </w:rPr>
              <w:t>B</w:t>
            </w:r>
            <w:r w:rsidRPr="003A3B3D">
              <w:rPr>
                <w:vertAlign w:val="subscript"/>
                <w:lang w:val="en-US"/>
              </w:rPr>
              <w:t>iso.</w:t>
            </w:r>
            <w:r w:rsidRPr="003A3B3D">
              <w:rPr>
                <w:lang w:val="en-US"/>
              </w:rPr>
              <w:t>, Å</w:t>
            </w:r>
            <w:r w:rsidRPr="003A3B3D">
              <w:rPr>
                <w:vertAlign w:val="superscript"/>
                <w:lang w:val="en-US"/>
              </w:rPr>
              <w:t>2</w:t>
            </w:r>
          </w:p>
        </w:tc>
        <w:tc>
          <w:tcPr>
            <w:tcW w:w="116" w:type="pct"/>
            <w:vMerge/>
            <w:shd w:val="clear" w:color="auto" w:fill="auto"/>
          </w:tcPr>
          <w:p w14:paraId="78E0BE27" w14:textId="5D28D91D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60EBDFCB" w14:textId="77777777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x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3F551E0" w14:textId="77777777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y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0552E422" w14:textId="77777777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z</w:t>
            </w:r>
          </w:p>
        </w:tc>
        <w:tc>
          <w:tcPr>
            <w:tcW w:w="436" w:type="pct"/>
          </w:tcPr>
          <w:p w14:paraId="211874B5" w14:textId="3F92E539" w:rsidR="00CC35B3" w:rsidRPr="003A3B3D" w:rsidRDefault="00CC35B3" w:rsidP="000F0466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lang w:val="en-US"/>
              </w:rPr>
              <w:t>B</w:t>
            </w:r>
            <w:r w:rsidRPr="003A3B3D">
              <w:rPr>
                <w:vertAlign w:val="subscript"/>
                <w:lang w:val="en-US"/>
              </w:rPr>
              <w:t>iso.</w:t>
            </w:r>
            <w:r w:rsidRPr="003A3B3D">
              <w:rPr>
                <w:lang w:val="en-US"/>
              </w:rPr>
              <w:t>, Å</w:t>
            </w:r>
            <w:r w:rsidRPr="003A3B3D">
              <w:rPr>
                <w:vertAlign w:val="superscript"/>
                <w:lang w:val="en-US"/>
              </w:rPr>
              <w:t>2</w:t>
            </w:r>
          </w:p>
        </w:tc>
      </w:tr>
      <w:tr w:rsidR="00CC35B3" w:rsidRPr="003A3B3D" w14:paraId="21017A35" w14:textId="4241FA87" w:rsidTr="00CC35B3">
        <w:tc>
          <w:tcPr>
            <w:tcW w:w="277" w:type="pct"/>
            <w:shd w:val="clear" w:color="auto" w:fill="auto"/>
          </w:tcPr>
          <w:p w14:paraId="0F45AFAD" w14:textId="77777777" w:rsidR="00CC35B3" w:rsidRPr="003A3B3D" w:rsidRDefault="00CC35B3" w:rsidP="00FB6752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Ti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7F713CE9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4</w:t>
            </w:r>
            <w:r w:rsidRPr="003A3B3D">
              <w:rPr>
                <w:i/>
                <w:iCs/>
                <w:lang w:val="en-US"/>
              </w:rPr>
              <w:t>f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63AB845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5BC1233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⅔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B12EDEB" w14:textId="337AE3CF" w:rsidR="00CC35B3" w:rsidRPr="003A3B3D" w:rsidRDefault="00CC35B3" w:rsidP="00CC35B3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0.0848(3)</w:t>
            </w:r>
          </w:p>
        </w:tc>
        <w:tc>
          <w:tcPr>
            <w:tcW w:w="436" w:type="pct"/>
          </w:tcPr>
          <w:p w14:paraId="38E0D581" w14:textId="7B339749" w:rsidR="00CC35B3" w:rsidRPr="003A3B3D" w:rsidRDefault="00CC35B3" w:rsidP="00CC35B3">
            <w:pPr>
              <w:spacing w:after="80"/>
              <w:rPr>
                <w:lang w:val="en-US"/>
              </w:rPr>
            </w:pPr>
            <w:r w:rsidRPr="003A3B3D">
              <w:rPr>
                <w:lang w:val="en-US"/>
              </w:rPr>
              <w:t>0.55(2)</w:t>
            </w:r>
          </w:p>
        </w:tc>
        <w:tc>
          <w:tcPr>
            <w:tcW w:w="116" w:type="pct"/>
            <w:vMerge/>
            <w:shd w:val="clear" w:color="auto" w:fill="auto"/>
          </w:tcPr>
          <w:p w14:paraId="403E1D79" w14:textId="323BBD7B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9FD8147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⅓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D553DDB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⅔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4A32FC2F" w14:textId="20CF042B" w:rsidR="00CC35B3" w:rsidRPr="003A3B3D" w:rsidRDefault="00CC35B3" w:rsidP="00CC35B3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0.0843(3)</w:t>
            </w:r>
          </w:p>
        </w:tc>
        <w:tc>
          <w:tcPr>
            <w:tcW w:w="436" w:type="pct"/>
          </w:tcPr>
          <w:p w14:paraId="7834DE69" w14:textId="3E8B216B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0.58(2)</w:t>
            </w:r>
          </w:p>
        </w:tc>
      </w:tr>
      <w:tr w:rsidR="00CC35B3" w:rsidRPr="003A3B3D" w14:paraId="1237D594" w14:textId="1F456C64" w:rsidTr="00CC35B3">
        <w:tc>
          <w:tcPr>
            <w:tcW w:w="277" w:type="pct"/>
            <w:shd w:val="clear" w:color="auto" w:fill="auto"/>
          </w:tcPr>
          <w:p w14:paraId="50BA02A4" w14:textId="77777777" w:rsidR="00CC35B3" w:rsidRPr="003A3B3D" w:rsidRDefault="00CC35B3" w:rsidP="00FB6752">
            <w:pPr>
              <w:spacing w:after="80"/>
              <w:jc w:val="center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M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0B04410C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2</w:t>
            </w:r>
            <w:r w:rsidRPr="003A3B3D">
              <w:rPr>
                <w:i/>
                <w:iCs/>
                <w:lang w:val="en-US"/>
              </w:rPr>
              <w:t>c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D401950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⅓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F17F57E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⅔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3531BE09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¼</w:t>
            </w:r>
          </w:p>
        </w:tc>
        <w:tc>
          <w:tcPr>
            <w:tcW w:w="436" w:type="pct"/>
          </w:tcPr>
          <w:p w14:paraId="4A4FE246" w14:textId="44AC5694" w:rsidR="00CC35B3" w:rsidRPr="003A3B3D" w:rsidRDefault="00CC35B3" w:rsidP="00CC35B3">
            <w:pPr>
              <w:spacing w:after="80"/>
              <w:rPr>
                <w:lang w:val="en-US"/>
              </w:rPr>
            </w:pPr>
            <w:r w:rsidRPr="003A3B3D">
              <w:rPr>
                <w:lang w:val="en-US"/>
              </w:rPr>
              <w:t>0.64(4)</w:t>
            </w:r>
          </w:p>
        </w:tc>
        <w:tc>
          <w:tcPr>
            <w:tcW w:w="116" w:type="pct"/>
            <w:vMerge/>
            <w:shd w:val="clear" w:color="auto" w:fill="auto"/>
          </w:tcPr>
          <w:p w14:paraId="50544240" w14:textId="246B7AB9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4B7E6911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⅓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B918685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⅔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28E271E3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¼</w:t>
            </w:r>
          </w:p>
        </w:tc>
        <w:tc>
          <w:tcPr>
            <w:tcW w:w="436" w:type="pct"/>
          </w:tcPr>
          <w:p w14:paraId="455BF0C0" w14:textId="7A8DDE6F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0.67(4)</w:t>
            </w:r>
          </w:p>
        </w:tc>
      </w:tr>
      <w:tr w:rsidR="00CC35B3" w:rsidRPr="003A3B3D" w14:paraId="13F57378" w14:textId="732FC6F8" w:rsidTr="00CC35B3">
        <w:tc>
          <w:tcPr>
            <w:tcW w:w="277" w:type="pct"/>
            <w:shd w:val="clear" w:color="auto" w:fill="auto"/>
          </w:tcPr>
          <w:p w14:paraId="03094684" w14:textId="77777777" w:rsidR="00CC35B3" w:rsidRPr="003A3B3D" w:rsidRDefault="00CC35B3" w:rsidP="00FB6752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C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15E2EED4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2</w:t>
            </w:r>
            <w:r w:rsidRPr="003A3B3D">
              <w:rPr>
                <w:i/>
                <w:iCs/>
                <w:lang w:val="en-US"/>
              </w:rPr>
              <w:t>a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3DF0E953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E33E95F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088CC1A6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</w:t>
            </w:r>
          </w:p>
        </w:tc>
        <w:tc>
          <w:tcPr>
            <w:tcW w:w="436" w:type="pct"/>
          </w:tcPr>
          <w:p w14:paraId="5A6FF157" w14:textId="0D18F56A" w:rsidR="00CC35B3" w:rsidRPr="003A3B3D" w:rsidRDefault="00CC35B3" w:rsidP="000F0466">
            <w:pPr>
              <w:spacing w:after="80"/>
              <w:rPr>
                <w:lang w:val="en-US"/>
              </w:rPr>
            </w:pPr>
            <w:r w:rsidRPr="003A3B3D">
              <w:rPr>
                <w:lang w:val="en-US"/>
              </w:rPr>
              <w:t>0.7</w:t>
            </w:r>
          </w:p>
        </w:tc>
        <w:tc>
          <w:tcPr>
            <w:tcW w:w="116" w:type="pct"/>
            <w:vMerge/>
            <w:shd w:val="clear" w:color="auto" w:fill="auto"/>
          </w:tcPr>
          <w:p w14:paraId="1AEDB282" w14:textId="75A873D0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14:paraId="2BE5D75B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B838564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6FA1242B" w14:textId="77777777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</w:t>
            </w:r>
          </w:p>
        </w:tc>
        <w:tc>
          <w:tcPr>
            <w:tcW w:w="436" w:type="pct"/>
          </w:tcPr>
          <w:p w14:paraId="0AF11467" w14:textId="2F9B3CFD" w:rsidR="00CC35B3" w:rsidRPr="003A3B3D" w:rsidRDefault="00CC35B3" w:rsidP="000F0466">
            <w:pPr>
              <w:spacing w:after="80"/>
              <w:jc w:val="center"/>
              <w:rPr>
                <w:lang w:val="en-US"/>
              </w:rPr>
            </w:pPr>
            <w:r w:rsidRPr="003A3B3D">
              <w:rPr>
                <w:lang w:val="en-US"/>
              </w:rPr>
              <w:t>0.7</w:t>
            </w:r>
          </w:p>
        </w:tc>
      </w:tr>
      <w:tr w:rsidR="00CC35B3" w:rsidRPr="003A3B3D" w14:paraId="4F28F7F6" w14:textId="5DA87414" w:rsidTr="00CC35B3">
        <w:tc>
          <w:tcPr>
            <w:tcW w:w="1127" w:type="pct"/>
            <w:gridSpan w:val="2"/>
            <w:shd w:val="clear" w:color="auto" w:fill="auto"/>
          </w:tcPr>
          <w:p w14:paraId="490F47CC" w14:textId="77777777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1849" w:type="pct"/>
            <w:gridSpan w:val="4"/>
            <w:shd w:val="clear" w:color="auto" w:fill="auto"/>
          </w:tcPr>
          <w:p w14:paraId="42F700D8" w14:textId="06DB2D64" w:rsidR="00CC35B3" w:rsidRPr="003A3B3D" w:rsidRDefault="00CC35B3" w:rsidP="00BC29D7">
            <w:pPr>
              <w:spacing w:after="80"/>
              <w:rPr>
                <w:lang w:val="en-US"/>
              </w:rPr>
            </w:pPr>
            <w:r w:rsidRPr="003A3B3D">
              <w:rPr>
                <w:i/>
                <w:iCs/>
                <w:lang w:val="en-US"/>
              </w:rPr>
              <w:t>M</w:t>
            </w:r>
            <w:r w:rsidRPr="003A3B3D">
              <w:rPr>
                <w:lang w:val="en-US"/>
              </w:rPr>
              <w:t xml:space="preserve"> = 0.3</w:t>
            </w:r>
            <w:r w:rsidR="00BC29D7" w:rsidRPr="003A3B3D">
              <w:rPr>
                <w:lang w:val="en-US"/>
              </w:rPr>
              <w:t>9</w:t>
            </w:r>
            <w:r w:rsidRPr="003A3B3D">
              <w:rPr>
                <w:lang w:val="en-US"/>
              </w:rPr>
              <w:t>(</w:t>
            </w:r>
            <w:proofErr w:type="gramStart"/>
            <w:r w:rsidR="00BC29D7" w:rsidRPr="003A3B3D">
              <w:rPr>
                <w:lang w:val="en-US"/>
              </w:rPr>
              <w:t>1</w:t>
            </w:r>
            <w:r w:rsidRPr="003A3B3D">
              <w:rPr>
                <w:lang w:val="en-US"/>
              </w:rPr>
              <w:t>)Al</w:t>
            </w:r>
            <w:proofErr w:type="gramEnd"/>
            <w:r w:rsidRPr="003A3B3D">
              <w:rPr>
                <w:lang w:val="en-US"/>
              </w:rPr>
              <w:t xml:space="preserve"> + 0.61(</w:t>
            </w:r>
            <w:r w:rsidR="00BC29D7" w:rsidRPr="003A3B3D">
              <w:rPr>
                <w:lang w:val="en-US"/>
              </w:rPr>
              <w:t>1</w:t>
            </w:r>
            <w:r w:rsidRPr="003A3B3D">
              <w:rPr>
                <w:lang w:val="en-US"/>
              </w:rPr>
              <w:t>)Ga</w:t>
            </w:r>
          </w:p>
        </w:tc>
        <w:tc>
          <w:tcPr>
            <w:tcW w:w="116" w:type="pct"/>
            <w:vMerge/>
            <w:shd w:val="clear" w:color="auto" w:fill="auto"/>
          </w:tcPr>
          <w:p w14:paraId="3376CF12" w14:textId="138A7D56" w:rsidR="00CC35B3" w:rsidRPr="003A3B3D" w:rsidRDefault="00CC35B3" w:rsidP="000F0466">
            <w:pPr>
              <w:spacing w:after="80"/>
              <w:rPr>
                <w:lang w:val="en-US"/>
              </w:rPr>
            </w:pPr>
          </w:p>
        </w:tc>
        <w:tc>
          <w:tcPr>
            <w:tcW w:w="1908" w:type="pct"/>
            <w:gridSpan w:val="4"/>
            <w:shd w:val="clear" w:color="auto" w:fill="auto"/>
          </w:tcPr>
          <w:p w14:paraId="227A1A1B" w14:textId="1471F31B" w:rsidR="00CC35B3" w:rsidRPr="003A3B3D" w:rsidRDefault="00CC35B3" w:rsidP="00BC29D7">
            <w:pPr>
              <w:spacing w:after="80"/>
              <w:rPr>
                <w:i/>
                <w:iCs/>
                <w:lang w:val="en-US"/>
              </w:rPr>
            </w:pPr>
            <w:r w:rsidRPr="003A3B3D">
              <w:rPr>
                <w:i/>
                <w:iCs/>
                <w:lang w:val="en-US"/>
              </w:rPr>
              <w:t>M</w:t>
            </w:r>
            <w:r w:rsidRPr="003A3B3D">
              <w:rPr>
                <w:lang w:val="en-US"/>
              </w:rPr>
              <w:t xml:space="preserve"> = 0.4</w:t>
            </w:r>
            <w:r w:rsidR="00BC29D7" w:rsidRPr="003A3B3D">
              <w:rPr>
                <w:lang w:val="en-US"/>
              </w:rPr>
              <w:t>9</w:t>
            </w:r>
            <w:r w:rsidRPr="003A3B3D">
              <w:rPr>
                <w:lang w:val="en-US"/>
              </w:rPr>
              <w:t>(</w:t>
            </w:r>
            <w:proofErr w:type="gramStart"/>
            <w:r w:rsidRPr="003A3B3D">
              <w:rPr>
                <w:lang w:val="en-US"/>
              </w:rPr>
              <w:t>1)Al</w:t>
            </w:r>
            <w:proofErr w:type="gramEnd"/>
            <w:r w:rsidRPr="003A3B3D">
              <w:rPr>
                <w:lang w:val="en-US"/>
              </w:rPr>
              <w:t xml:space="preserve"> + 0.51(1)Ga</w:t>
            </w:r>
          </w:p>
        </w:tc>
      </w:tr>
    </w:tbl>
    <w:p w14:paraId="71BD7400" w14:textId="77777777" w:rsidR="000D1774" w:rsidRPr="003A3B3D" w:rsidRDefault="000D1774">
      <w:pPr>
        <w:rPr>
          <w:lang w:val="en-US" w:eastAsia="cs-CZ"/>
        </w:rPr>
      </w:pPr>
    </w:p>
    <w:p w14:paraId="0C1829D3" w14:textId="59962940" w:rsidR="000D1774" w:rsidRPr="003A3B3D" w:rsidRDefault="000F0466">
      <w:pPr>
        <w:pStyle w:val="4"/>
        <w:rPr>
          <w:lang w:val="en-US"/>
        </w:rPr>
      </w:pPr>
      <w:r w:rsidRPr="003A3B3D">
        <w:rPr>
          <w:lang w:val="en-US"/>
        </w:rPr>
        <w:t xml:space="preserve">[1] </w:t>
      </w:r>
      <w:r w:rsidR="00CE0FD7" w:rsidRPr="003A3B3D">
        <w:rPr>
          <w:lang w:val="en-US"/>
        </w:rPr>
        <w:t>Gonzalez-Julian,</w:t>
      </w:r>
      <w:r w:rsidRPr="003A3B3D">
        <w:rPr>
          <w:lang w:val="en-US"/>
        </w:rPr>
        <w:t xml:space="preserve"> </w:t>
      </w:r>
      <w:r w:rsidR="00CE0FD7" w:rsidRPr="003A3B3D">
        <w:rPr>
          <w:lang w:val="en-US"/>
        </w:rPr>
        <w:t xml:space="preserve">J. </w:t>
      </w:r>
      <w:r w:rsidRPr="003A3B3D">
        <w:rPr>
          <w:lang w:val="en-US"/>
        </w:rPr>
        <w:t>(</w:t>
      </w:r>
      <w:r w:rsidR="00CE0FD7" w:rsidRPr="003A3B3D">
        <w:rPr>
          <w:lang w:val="en-US"/>
        </w:rPr>
        <w:t>2021</w:t>
      </w:r>
      <w:r w:rsidRPr="003A3B3D">
        <w:rPr>
          <w:lang w:val="en-US"/>
        </w:rPr>
        <w:t xml:space="preserve">). </w:t>
      </w:r>
      <w:r w:rsidR="00CE0FD7" w:rsidRPr="003A3B3D">
        <w:rPr>
          <w:i/>
          <w:iCs/>
          <w:lang w:val="en-US"/>
        </w:rPr>
        <w:t>J. Am. Ceram. Soc</w:t>
      </w:r>
      <w:r w:rsidRPr="003A3B3D">
        <w:rPr>
          <w:i/>
          <w:lang w:val="en-US"/>
        </w:rPr>
        <w:t>.</w:t>
      </w:r>
      <w:r w:rsidR="00FB6752" w:rsidRPr="003A3B3D">
        <w:rPr>
          <w:lang w:val="en-US"/>
        </w:rPr>
        <w:t xml:space="preserve"> </w:t>
      </w:r>
      <w:r w:rsidR="00CE0FD7" w:rsidRPr="003A3B3D">
        <w:rPr>
          <w:b/>
          <w:lang w:val="en-US"/>
        </w:rPr>
        <w:t>104</w:t>
      </w:r>
      <w:r w:rsidRPr="003A3B3D">
        <w:rPr>
          <w:lang w:val="en-US"/>
        </w:rPr>
        <w:t xml:space="preserve">, </w:t>
      </w:r>
      <w:r w:rsidR="00CE0FD7" w:rsidRPr="003A3B3D">
        <w:rPr>
          <w:lang w:val="en-US"/>
        </w:rPr>
        <w:t>659-690</w:t>
      </w:r>
      <w:r w:rsidRPr="003A3B3D">
        <w:rPr>
          <w:lang w:val="en-US"/>
        </w:rPr>
        <w:t>.</w:t>
      </w:r>
    </w:p>
    <w:p w14:paraId="16094704" w14:textId="405B4706" w:rsidR="000D1774" w:rsidRPr="003A3B3D" w:rsidRDefault="000F0466">
      <w:pPr>
        <w:pStyle w:val="4"/>
        <w:rPr>
          <w:lang w:val="en-US"/>
        </w:rPr>
      </w:pPr>
      <w:r w:rsidRPr="003A3B3D">
        <w:rPr>
          <w:lang w:val="en-US"/>
        </w:rPr>
        <w:t xml:space="preserve">[2] </w:t>
      </w:r>
      <w:r w:rsidR="00CE0FD7" w:rsidRPr="003A3B3D">
        <w:rPr>
          <w:lang w:val="en-US"/>
        </w:rPr>
        <w:t>Etzkorn, J.</w:t>
      </w:r>
      <w:r w:rsidR="00FB6752" w:rsidRPr="003A3B3D">
        <w:rPr>
          <w:lang w:val="en-US"/>
        </w:rPr>
        <w:t>,</w:t>
      </w:r>
      <w:r w:rsidR="00CE0FD7" w:rsidRPr="003A3B3D">
        <w:rPr>
          <w:lang w:val="en-US"/>
        </w:rPr>
        <w:t xml:space="preserve"> Ade, M.</w:t>
      </w:r>
      <w:r w:rsidR="00FB6752" w:rsidRPr="003A3B3D">
        <w:rPr>
          <w:lang w:val="en-US"/>
        </w:rPr>
        <w:t>,</w:t>
      </w:r>
      <w:r w:rsidR="00CE0FD7" w:rsidRPr="003A3B3D">
        <w:rPr>
          <w:lang w:val="en-US"/>
        </w:rPr>
        <w:t xml:space="preserve"> </w:t>
      </w:r>
      <w:proofErr w:type="spellStart"/>
      <w:r w:rsidR="00CE0FD7" w:rsidRPr="003A3B3D">
        <w:rPr>
          <w:lang w:val="en-US"/>
        </w:rPr>
        <w:t>Kotzott</w:t>
      </w:r>
      <w:proofErr w:type="spellEnd"/>
      <w:r w:rsidR="00CE0FD7" w:rsidRPr="003A3B3D">
        <w:rPr>
          <w:lang w:val="en-US"/>
        </w:rPr>
        <w:t>, D.</w:t>
      </w:r>
      <w:r w:rsidR="00FB6752" w:rsidRPr="003A3B3D">
        <w:rPr>
          <w:lang w:val="en-US"/>
        </w:rPr>
        <w:t>,</w:t>
      </w:r>
      <w:r w:rsidR="00CE0FD7" w:rsidRPr="003A3B3D">
        <w:rPr>
          <w:lang w:val="en-US"/>
        </w:rPr>
        <w:t xml:space="preserve"> </w:t>
      </w:r>
      <w:proofErr w:type="spellStart"/>
      <w:r w:rsidR="00CE0FD7" w:rsidRPr="003A3B3D">
        <w:rPr>
          <w:lang w:val="en-US"/>
        </w:rPr>
        <w:t>Kleczek</w:t>
      </w:r>
      <w:proofErr w:type="spellEnd"/>
      <w:r w:rsidR="00CE0FD7" w:rsidRPr="003A3B3D">
        <w:rPr>
          <w:lang w:val="en-US"/>
        </w:rPr>
        <w:t>, M.</w:t>
      </w:r>
      <w:r w:rsidRPr="003A3B3D">
        <w:rPr>
          <w:lang w:val="en-US"/>
        </w:rPr>
        <w:t xml:space="preserve"> </w:t>
      </w:r>
      <w:r w:rsidR="00CE0FD7" w:rsidRPr="003A3B3D">
        <w:rPr>
          <w:lang w:val="en-US"/>
        </w:rPr>
        <w:t xml:space="preserve">&amp; Hillebrecht, H. </w:t>
      </w:r>
      <w:r w:rsidRPr="003A3B3D">
        <w:rPr>
          <w:lang w:val="en-US"/>
        </w:rPr>
        <w:t>(200</w:t>
      </w:r>
      <w:r w:rsidR="00CE0FD7" w:rsidRPr="003A3B3D">
        <w:rPr>
          <w:lang w:val="en-US"/>
        </w:rPr>
        <w:t>9</w:t>
      </w:r>
      <w:r w:rsidRPr="003A3B3D">
        <w:rPr>
          <w:lang w:val="en-US"/>
        </w:rPr>
        <w:t xml:space="preserve">). </w:t>
      </w:r>
      <w:r w:rsidRPr="003A3B3D">
        <w:rPr>
          <w:i/>
          <w:lang w:val="en-US"/>
        </w:rPr>
        <w:t xml:space="preserve">J. </w:t>
      </w:r>
      <w:r w:rsidR="00CE0FD7" w:rsidRPr="003A3B3D">
        <w:rPr>
          <w:i/>
          <w:lang w:val="en-US"/>
        </w:rPr>
        <w:t>Solid State</w:t>
      </w:r>
      <w:r w:rsidRPr="003A3B3D">
        <w:rPr>
          <w:i/>
          <w:lang w:val="en-US"/>
        </w:rPr>
        <w:t xml:space="preserve"> Chem.</w:t>
      </w:r>
      <w:r w:rsidRPr="003A3B3D">
        <w:rPr>
          <w:lang w:val="en-US"/>
        </w:rPr>
        <w:t xml:space="preserve"> </w:t>
      </w:r>
      <w:r w:rsidRPr="003A3B3D">
        <w:rPr>
          <w:b/>
          <w:lang w:val="en-US"/>
        </w:rPr>
        <w:t>1</w:t>
      </w:r>
      <w:r w:rsidR="00CE0FD7" w:rsidRPr="003A3B3D">
        <w:rPr>
          <w:b/>
          <w:lang w:val="en-US"/>
        </w:rPr>
        <w:t>82</w:t>
      </w:r>
      <w:r w:rsidRPr="003A3B3D">
        <w:rPr>
          <w:lang w:val="en-US"/>
        </w:rPr>
        <w:t xml:space="preserve">, </w:t>
      </w:r>
      <w:r w:rsidR="00CE0FD7" w:rsidRPr="003A3B3D">
        <w:rPr>
          <w:lang w:val="en-US"/>
        </w:rPr>
        <w:t>995-1002</w:t>
      </w:r>
      <w:r w:rsidRPr="003A3B3D">
        <w:rPr>
          <w:lang w:val="en-US"/>
        </w:rPr>
        <w:t>.</w:t>
      </w:r>
    </w:p>
    <w:p w14:paraId="7CF6233D" w14:textId="3318CDA6" w:rsidR="000D1774" w:rsidRPr="003A3B3D" w:rsidRDefault="000F0466">
      <w:pPr>
        <w:pStyle w:val="4"/>
        <w:rPr>
          <w:lang w:val="en-US"/>
        </w:rPr>
      </w:pPr>
      <w:r w:rsidRPr="003A3B3D">
        <w:rPr>
          <w:lang w:val="en-US"/>
        </w:rPr>
        <w:t xml:space="preserve">[3] </w:t>
      </w:r>
      <w:r w:rsidR="00FB5C1E" w:rsidRPr="003A3B3D">
        <w:rPr>
          <w:lang w:val="en-US"/>
        </w:rPr>
        <w:t>Hoch, M.</w:t>
      </w:r>
      <w:r w:rsidR="00FB6752" w:rsidRPr="003A3B3D">
        <w:rPr>
          <w:lang w:val="en-US"/>
        </w:rPr>
        <w:t>,</w:t>
      </w:r>
      <w:r w:rsidR="00FB5C1E" w:rsidRPr="003A3B3D">
        <w:rPr>
          <w:lang w:val="en-US"/>
        </w:rPr>
        <w:t xml:space="preserve"> Sakai, T.</w:t>
      </w:r>
      <w:r w:rsidR="00FB6752" w:rsidRPr="003A3B3D">
        <w:rPr>
          <w:lang w:val="en-US"/>
        </w:rPr>
        <w:t>,</w:t>
      </w:r>
      <w:r w:rsidR="00FB5C1E" w:rsidRPr="003A3B3D">
        <w:rPr>
          <w:lang w:val="en-US"/>
        </w:rPr>
        <w:t xml:space="preserve"> Krupowicz, J. &amp;</w:t>
      </w:r>
      <w:r w:rsidRPr="003A3B3D">
        <w:rPr>
          <w:lang w:val="en-US"/>
        </w:rPr>
        <w:t xml:space="preserve"> </w:t>
      </w:r>
      <w:r w:rsidR="00FB5C1E" w:rsidRPr="003A3B3D">
        <w:rPr>
          <w:lang w:val="en-US"/>
        </w:rPr>
        <w:t xml:space="preserve">Delahanty, M. </w:t>
      </w:r>
      <w:r w:rsidRPr="003A3B3D">
        <w:rPr>
          <w:lang w:val="en-US"/>
        </w:rPr>
        <w:t>(</w:t>
      </w:r>
      <w:r w:rsidR="00FB5C1E" w:rsidRPr="003A3B3D">
        <w:rPr>
          <w:lang w:val="en-US"/>
        </w:rPr>
        <w:t>1972</w:t>
      </w:r>
      <w:r w:rsidRPr="003A3B3D">
        <w:rPr>
          <w:lang w:val="en-US"/>
        </w:rPr>
        <w:t xml:space="preserve">). </w:t>
      </w:r>
      <w:r w:rsidR="007071EE" w:rsidRPr="003A3B3D">
        <w:rPr>
          <w:i/>
          <w:iCs/>
          <w:lang w:val="en-US"/>
        </w:rPr>
        <w:t>Titanium Sci</w:t>
      </w:r>
      <w:r w:rsidR="008824F9" w:rsidRPr="003A3B3D">
        <w:rPr>
          <w:i/>
          <w:iCs/>
          <w:lang w:val="en-US"/>
        </w:rPr>
        <w:t>.</w:t>
      </w:r>
      <w:r w:rsidR="007071EE" w:rsidRPr="003A3B3D">
        <w:rPr>
          <w:i/>
          <w:iCs/>
          <w:lang w:val="en-US"/>
        </w:rPr>
        <w:t xml:space="preserve"> Technol</w:t>
      </w:r>
      <w:r w:rsidR="008824F9" w:rsidRPr="003A3B3D">
        <w:rPr>
          <w:i/>
          <w:iCs/>
          <w:lang w:val="en-US"/>
        </w:rPr>
        <w:t>.</w:t>
      </w:r>
      <w:r w:rsidR="00FB5C1E" w:rsidRPr="003A3B3D">
        <w:rPr>
          <w:lang w:val="en-US"/>
        </w:rPr>
        <w:t xml:space="preserve"> </w:t>
      </w:r>
      <w:r w:rsidR="00FB5C1E" w:rsidRPr="003A3B3D">
        <w:rPr>
          <w:b/>
          <w:lang w:val="en-US"/>
        </w:rPr>
        <w:t>2</w:t>
      </w:r>
      <w:r w:rsidR="00FB5C1E" w:rsidRPr="003A3B3D">
        <w:rPr>
          <w:lang w:val="en-US"/>
        </w:rPr>
        <w:t>, 935-949</w:t>
      </w:r>
      <w:r w:rsidRPr="003A3B3D">
        <w:rPr>
          <w:lang w:val="en-US"/>
        </w:rPr>
        <w:t>.</w:t>
      </w:r>
    </w:p>
    <w:p w14:paraId="7CF4A6DC" w14:textId="5AF2AF20" w:rsidR="00FB6752" w:rsidRPr="003A3B3D" w:rsidRDefault="00FB6752" w:rsidP="00FB6752">
      <w:pPr>
        <w:pStyle w:val="Acknowledgement"/>
        <w:rPr>
          <w:lang w:val="en-US"/>
        </w:rPr>
      </w:pPr>
      <w:r w:rsidRPr="003A3B3D">
        <w:rPr>
          <w:lang w:val="en-US" w:eastAsia="cs-CZ"/>
        </w:rPr>
        <w:t>This work was carried out under EIRENE Grants of the Max</w:t>
      </w:r>
      <w:r w:rsidR="00BC29D7" w:rsidRPr="003A3B3D">
        <w:rPr>
          <w:lang w:val="en-US" w:eastAsia="cs-CZ"/>
        </w:rPr>
        <w:t xml:space="preserve"> </w:t>
      </w:r>
      <w:r w:rsidRPr="003A3B3D">
        <w:rPr>
          <w:lang w:val="en-US" w:eastAsia="cs-CZ"/>
        </w:rPr>
        <w:t>Planck</w:t>
      </w:r>
      <w:r w:rsidR="00BC29D7" w:rsidRPr="003A3B3D">
        <w:rPr>
          <w:lang w:val="en-US" w:eastAsia="cs-CZ"/>
        </w:rPr>
        <w:t xml:space="preserve"> </w:t>
      </w:r>
      <w:r w:rsidRPr="003A3B3D">
        <w:rPr>
          <w:lang w:val="en-US" w:eastAsia="cs-CZ"/>
        </w:rPr>
        <w:t>Institute for Chemical Physics of Solids (Dresden, Germany).</w:t>
      </w:r>
    </w:p>
    <w:p w14:paraId="5CDDD1BC" w14:textId="52CC0E22" w:rsidR="000D1774" w:rsidRPr="003A3B3D" w:rsidRDefault="000D1774">
      <w:pPr>
        <w:pStyle w:val="Acknowledgement"/>
        <w:rPr>
          <w:lang w:val="en-US"/>
        </w:rPr>
      </w:pPr>
    </w:p>
    <w:sectPr w:rsidR="000D1774" w:rsidRPr="003A3B3D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7E84" w14:textId="77777777" w:rsidR="0096263F" w:rsidRDefault="0096263F">
      <w:pPr>
        <w:spacing w:after="0"/>
      </w:pPr>
      <w:r>
        <w:separator/>
      </w:r>
    </w:p>
  </w:endnote>
  <w:endnote w:type="continuationSeparator" w:id="0">
    <w:p w14:paraId="00282B02" w14:textId="77777777" w:rsidR="0096263F" w:rsidRDefault="009626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16049" w14:textId="77777777" w:rsidR="000D1774" w:rsidRDefault="000F0466">
    <w:pPr>
      <w:pStyle w:val="a6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71177CCD" w14:textId="77777777" w:rsidR="000D1774" w:rsidRDefault="000D1774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1D9AC" w14:textId="77777777" w:rsidR="0096263F" w:rsidRDefault="0096263F">
      <w:pPr>
        <w:spacing w:after="0"/>
      </w:pPr>
      <w:r>
        <w:separator/>
      </w:r>
    </w:p>
  </w:footnote>
  <w:footnote w:type="continuationSeparator" w:id="0">
    <w:p w14:paraId="572CFFDD" w14:textId="77777777" w:rsidR="0096263F" w:rsidRDefault="009626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6668" w14:textId="1F5DFCA0" w:rsidR="000D1774" w:rsidRDefault="000F0466">
    <w:pPr>
      <w:tabs>
        <w:tab w:val="center" w:pos="4703"/>
        <w:tab w:val="right" w:pos="9406"/>
      </w:tabs>
    </w:pPr>
    <w:r>
      <w:rPr>
        <w:b/>
        <w:bCs/>
      </w:rPr>
      <w:t>M</w:t>
    </w:r>
    <w:r w:rsidR="003A3B3D">
      <w:rPr>
        <w:b/>
        <w:bCs/>
        <w:lang w:val="uk-UA"/>
      </w:rPr>
      <w:t>13</w:t>
    </w:r>
    <w:r>
      <w:tab/>
    </w:r>
    <w:r w:rsidR="00840A34" w:rsidRPr="00840A34">
      <w:rPr>
        <w:b/>
        <w:bCs/>
      </w:rPr>
      <w:t>Intermetallic compounds and derivatives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revisionView w:inkAnnotations="0"/>
  <w:doNotTrackMove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774"/>
    <w:rsid w:val="0005550E"/>
    <w:rsid w:val="000A6026"/>
    <w:rsid w:val="000D1774"/>
    <w:rsid w:val="000D38AB"/>
    <w:rsid w:val="000F0466"/>
    <w:rsid w:val="001B4E73"/>
    <w:rsid w:val="001C6B94"/>
    <w:rsid w:val="00221569"/>
    <w:rsid w:val="002B1910"/>
    <w:rsid w:val="003030A2"/>
    <w:rsid w:val="003A04EF"/>
    <w:rsid w:val="003A3B3D"/>
    <w:rsid w:val="004114B1"/>
    <w:rsid w:val="0042048E"/>
    <w:rsid w:val="00440729"/>
    <w:rsid w:val="004648C6"/>
    <w:rsid w:val="004864CA"/>
    <w:rsid w:val="004950C1"/>
    <w:rsid w:val="00515060"/>
    <w:rsid w:val="00617936"/>
    <w:rsid w:val="006906EE"/>
    <w:rsid w:val="007071EE"/>
    <w:rsid w:val="008106EF"/>
    <w:rsid w:val="008277AC"/>
    <w:rsid w:val="00840A34"/>
    <w:rsid w:val="008824F9"/>
    <w:rsid w:val="0096263F"/>
    <w:rsid w:val="00A0087B"/>
    <w:rsid w:val="00A505C4"/>
    <w:rsid w:val="00A8783D"/>
    <w:rsid w:val="00AA66E6"/>
    <w:rsid w:val="00B02A80"/>
    <w:rsid w:val="00B036E8"/>
    <w:rsid w:val="00B45AB7"/>
    <w:rsid w:val="00B97593"/>
    <w:rsid w:val="00BC29D7"/>
    <w:rsid w:val="00C24B10"/>
    <w:rsid w:val="00C9755A"/>
    <w:rsid w:val="00CC35B3"/>
    <w:rsid w:val="00CD1C65"/>
    <w:rsid w:val="00CE0FD7"/>
    <w:rsid w:val="00CF2619"/>
    <w:rsid w:val="00DC5515"/>
    <w:rsid w:val="00DD14C4"/>
    <w:rsid w:val="00E1359B"/>
    <w:rsid w:val="00E572FF"/>
    <w:rsid w:val="00FB2AD5"/>
    <w:rsid w:val="00FB5C1E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7C7F99"/>
  <w15:docId w15:val="{22EC4D87-1A9C-4BFC-9AAD-03E82D30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1">
    <w:name w:val="heading 1"/>
    <w:basedOn w:val="a"/>
    <w:next w:val="2"/>
    <w:link w:val="10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2">
    <w:name w:val="heading 2"/>
    <w:basedOn w:val="a"/>
    <w:next w:val="3"/>
    <w:link w:val="20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4">
    <w:name w:val="heading 4"/>
    <w:basedOn w:val="a"/>
    <w:next w:val="a"/>
    <w:link w:val="40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5">
    <w:name w:val="heading 5"/>
    <w:basedOn w:val="6"/>
    <w:next w:val="a"/>
    <w:link w:val="50"/>
    <w:uiPriority w:val="9"/>
    <w:unhideWhenUsed/>
    <w:qFormat/>
    <w:rsid w:val="00605A18"/>
    <w:p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20">
    <w:name w:val="Заголовок 2 Знак"/>
    <w:link w:val="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30">
    <w:name w:val="Заголовок 3 Знак"/>
    <w:link w:val="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40">
    <w:name w:val="Заголовок 4 Знак"/>
    <w:link w:val="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">
    <w:name w:val="Адреса HTML Знак"/>
    <w:link w:val="HTML0"/>
    <w:uiPriority w:val="99"/>
    <w:semiHidden/>
    <w:qFormat/>
    <w:rsid w:val="005E6DCD"/>
    <w:rPr>
      <w:i/>
      <w:iCs/>
      <w:lang w:val="de-DE" w:eastAsia="de-DE"/>
    </w:rPr>
  </w:style>
  <w:style w:type="character" w:customStyle="1" w:styleId="50">
    <w:name w:val="Заголовок 5 Знак"/>
    <w:link w:val="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60">
    <w:name w:val="Заголовок 6 Знак"/>
    <w:link w:val="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a3">
    <w:name w:val="Верхній колонтитул Знак"/>
    <w:link w:val="a4"/>
    <w:uiPriority w:val="99"/>
    <w:qFormat/>
    <w:rsid w:val="00D13351"/>
    <w:rPr>
      <w:lang w:val="en-GB" w:eastAsia="de-DE"/>
    </w:rPr>
  </w:style>
  <w:style w:type="character" w:customStyle="1" w:styleId="a5">
    <w:name w:val="Нижній колонтитул Знак"/>
    <w:link w:val="a6"/>
    <w:uiPriority w:val="99"/>
    <w:qFormat/>
    <w:rsid w:val="00D13351"/>
    <w:rPr>
      <w:lang w:val="en-GB" w:eastAsia="de-DE"/>
    </w:rPr>
  </w:style>
  <w:style w:type="character" w:customStyle="1" w:styleId="a7">
    <w:name w:val="Текст у виносці Знак"/>
    <w:link w:val="a8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a"/>
    <w:next w:val="a9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a"/>
    <w:qFormat/>
    <w:rsid w:val="00777DA8"/>
    <w:rPr>
      <w:i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0A6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6E324-DC25-4D1D-8C97-DE16ECEB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2742</Words>
  <Characters>1563</Characters>
  <Application>Microsoft Office Word</Application>
  <DocSecurity>0</DocSecurity>
  <Lines>13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Materials Structure</vt:lpstr>
      <vt:lpstr>Materials Structure</vt:lpstr>
      <vt:lpstr>Materials Structure</vt:lpstr>
    </vt:vector>
  </TitlesOfParts>
  <Company>MFF UK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Anastasiia Broda</cp:lastModifiedBy>
  <cp:revision>39</cp:revision>
  <dcterms:created xsi:type="dcterms:W3CDTF">2019-09-04T15:26:00Z</dcterms:created>
  <dcterms:modified xsi:type="dcterms:W3CDTF">2025-05-09T19:43:00Z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10bd23be-2d49-4aad-a78d-14c4dbd1cee1</vt:lpwstr>
  </property>
</Properties>
</file>