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9ED7" w14:textId="77777777" w:rsidR="00661483" w:rsidRDefault="001155D3">
      <w:pPr>
        <w:pStyle w:val="Ttulo1"/>
      </w:pPr>
      <w:r w:rsidRPr="001155D3">
        <w:t xml:space="preserve">Cross-linked Lipase Crystals for the microfluidic detection of orlistat at </w:t>
      </w:r>
      <w:proofErr w:type="spellStart"/>
      <w:r w:rsidRPr="001155D3">
        <w:t>nM</w:t>
      </w:r>
      <w:proofErr w:type="spellEnd"/>
      <w:r w:rsidRPr="001155D3">
        <w:t xml:space="preserve"> concentration</w:t>
      </w:r>
    </w:p>
    <w:p w14:paraId="3FB049CA" w14:textId="160D78CC" w:rsidR="00661483" w:rsidRPr="001155D3" w:rsidRDefault="001155D3">
      <w:pPr>
        <w:pStyle w:val="Ttulo2"/>
        <w:rPr>
          <w:lang w:val="es-ES"/>
        </w:rPr>
      </w:pPr>
      <w:r w:rsidRPr="001155D3">
        <w:rPr>
          <w:lang w:val="es-ES"/>
        </w:rPr>
        <w:t>Pablo Moya-Garrido</w:t>
      </w:r>
      <w:r w:rsidRPr="001155D3">
        <w:rPr>
          <w:vertAlign w:val="superscript"/>
          <w:lang w:val="es-ES"/>
        </w:rPr>
        <w:t>1</w:t>
      </w:r>
      <w:r w:rsidRPr="001155D3">
        <w:rPr>
          <w:lang w:val="es-ES"/>
        </w:rPr>
        <w:t>, Isaac Rodríguez-Ruiz</w:t>
      </w:r>
      <w:r w:rsidRPr="001155D3">
        <w:rPr>
          <w:vertAlign w:val="superscript"/>
          <w:lang w:val="es-ES"/>
        </w:rPr>
        <w:t>2</w:t>
      </w:r>
      <w:r w:rsidRPr="001155D3">
        <w:rPr>
          <w:lang w:val="es-ES"/>
        </w:rPr>
        <w:t>, Sergio Martínez-Rodríguez</w:t>
      </w:r>
      <w:r w:rsidRPr="001155D3">
        <w:rPr>
          <w:vertAlign w:val="superscript"/>
          <w:lang w:val="es-ES"/>
        </w:rPr>
        <w:t>3</w:t>
      </w:r>
      <w:r w:rsidRPr="001155D3">
        <w:rPr>
          <w:lang w:val="es-ES"/>
        </w:rPr>
        <w:t>, José A. Gavira</w:t>
      </w:r>
      <w:r w:rsidRPr="001155D3">
        <w:rPr>
          <w:vertAlign w:val="superscript"/>
          <w:lang w:val="es-ES"/>
        </w:rPr>
        <w:t>1, *</w:t>
      </w:r>
    </w:p>
    <w:p w14:paraId="690BA040" w14:textId="0650BD64" w:rsidR="00661483" w:rsidRPr="001155D3" w:rsidRDefault="001155D3" w:rsidP="001155D3">
      <w:pPr>
        <w:pStyle w:val="Ttulo3"/>
        <w:rPr>
          <w:lang w:val="es-ES"/>
        </w:rPr>
      </w:pPr>
      <w:r w:rsidRPr="001155D3">
        <w:rPr>
          <w:vertAlign w:val="superscript"/>
          <w:lang w:val="es-ES"/>
        </w:rPr>
        <w:t>1</w:t>
      </w:r>
      <w:r w:rsidRPr="001155D3">
        <w:rPr>
          <w:lang w:val="es-ES"/>
        </w:rPr>
        <w:t xml:space="preserve">Laboratory </w:t>
      </w:r>
      <w:proofErr w:type="spellStart"/>
      <w:r w:rsidR="00697B88">
        <w:rPr>
          <w:lang w:val="es-ES"/>
        </w:rPr>
        <w:t>of</w:t>
      </w:r>
      <w:proofErr w:type="spellEnd"/>
      <w:r w:rsidRPr="001155D3">
        <w:rPr>
          <w:lang w:val="es-ES"/>
        </w:rPr>
        <w:t xml:space="preserve"> </w:t>
      </w:r>
      <w:proofErr w:type="spellStart"/>
      <w:r w:rsidRPr="001155D3">
        <w:rPr>
          <w:lang w:val="es-ES"/>
        </w:rPr>
        <w:t>Crystallographic</w:t>
      </w:r>
      <w:proofErr w:type="spellEnd"/>
      <w:r w:rsidRPr="001155D3">
        <w:rPr>
          <w:lang w:val="es-ES"/>
        </w:rPr>
        <w:t xml:space="preserve"> </w:t>
      </w:r>
      <w:proofErr w:type="spellStart"/>
      <w:r w:rsidRPr="001155D3">
        <w:rPr>
          <w:lang w:val="es-ES"/>
        </w:rPr>
        <w:t>Studies</w:t>
      </w:r>
      <w:proofErr w:type="spellEnd"/>
      <w:r w:rsidRPr="001155D3">
        <w:rPr>
          <w:lang w:val="es-ES"/>
        </w:rPr>
        <w:t>, IACT</w:t>
      </w:r>
      <w:r w:rsidR="003F2262">
        <w:rPr>
          <w:lang w:val="es-ES"/>
        </w:rPr>
        <w:t>-</w:t>
      </w:r>
      <w:r w:rsidRPr="001155D3">
        <w:rPr>
          <w:lang w:val="es-ES"/>
        </w:rPr>
        <w:t xml:space="preserve">CSIC, </w:t>
      </w:r>
      <w:r w:rsidR="00135B91">
        <w:rPr>
          <w:lang w:val="es-ES"/>
        </w:rPr>
        <w:t>18100, Granada</w:t>
      </w:r>
      <w:r w:rsidRPr="001155D3">
        <w:rPr>
          <w:lang w:val="es-ES"/>
        </w:rPr>
        <w:t xml:space="preserve">, </w:t>
      </w:r>
      <w:proofErr w:type="spellStart"/>
      <w:r w:rsidRPr="001155D3">
        <w:rPr>
          <w:lang w:val="es-ES"/>
        </w:rPr>
        <w:t>Spain</w:t>
      </w:r>
      <w:proofErr w:type="spellEnd"/>
      <w:r w:rsidRPr="001155D3">
        <w:rPr>
          <w:lang w:val="es-ES"/>
        </w:rPr>
        <w:t xml:space="preserve">, </w:t>
      </w:r>
      <w:r w:rsidRPr="001155D3">
        <w:rPr>
          <w:vertAlign w:val="superscript"/>
          <w:lang w:val="es-ES"/>
        </w:rPr>
        <w:t>2</w:t>
      </w:r>
      <w:r w:rsidRPr="001155D3">
        <w:rPr>
          <w:lang w:val="es-ES"/>
        </w:rPr>
        <w:t xml:space="preserve">Laboratoire de </w:t>
      </w:r>
      <w:proofErr w:type="spellStart"/>
      <w:r w:rsidRPr="001155D3">
        <w:rPr>
          <w:lang w:val="es-ES"/>
        </w:rPr>
        <w:t>Génie</w:t>
      </w:r>
      <w:proofErr w:type="spellEnd"/>
      <w:r w:rsidRPr="001155D3">
        <w:rPr>
          <w:lang w:val="es-ES"/>
        </w:rPr>
        <w:t xml:space="preserve"> </w:t>
      </w:r>
      <w:proofErr w:type="spellStart"/>
      <w:r w:rsidRPr="001155D3">
        <w:rPr>
          <w:lang w:val="es-ES"/>
        </w:rPr>
        <w:t>Chimique</w:t>
      </w:r>
      <w:proofErr w:type="spellEnd"/>
      <w:r w:rsidRPr="001155D3">
        <w:rPr>
          <w:lang w:val="es-ES"/>
        </w:rPr>
        <w:t xml:space="preserve">, CNRS, INP, UPS, Toulouse, France, </w:t>
      </w:r>
      <w:r w:rsidRPr="001155D3">
        <w:rPr>
          <w:vertAlign w:val="superscript"/>
          <w:lang w:val="es-ES"/>
        </w:rPr>
        <w:t>3</w:t>
      </w:r>
      <w:r w:rsidRPr="001155D3">
        <w:rPr>
          <w:lang w:val="es-ES"/>
        </w:rPr>
        <w:t xml:space="preserve">Departamento de Bioquímica y Biología Molecular III e Inmunología, </w:t>
      </w:r>
      <w:r>
        <w:rPr>
          <w:lang w:val="es-ES"/>
        </w:rPr>
        <w:t>UGR</w:t>
      </w:r>
      <w:r w:rsidRPr="001155D3">
        <w:rPr>
          <w:lang w:val="es-ES"/>
        </w:rPr>
        <w:t>, 18100</w:t>
      </w:r>
      <w:r w:rsidR="00135B91">
        <w:rPr>
          <w:lang w:val="es-ES"/>
        </w:rPr>
        <w:t>,</w:t>
      </w:r>
      <w:r w:rsidRPr="001155D3">
        <w:rPr>
          <w:lang w:val="es-ES"/>
        </w:rPr>
        <w:t xml:space="preserve"> Granada, </w:t>
      </w:r>
      <w:proofErr w:type="spellStart"/>
      <w:r w:rsidRPr="001155D3">
        <w:rPr>
          <w:lang w:val="es-ES"/>
        </w:rPr>
        <w:t>Spain</w:t>
      </w:r>
      <w:proofErr w:type="spellEnd"/>
    </w:p>
    <w:p w14:paraId="7E0F973B" w14:textId="77777777" w:rsidR="00661483" w:rsidRDefault="00000000">
      <w:pPr>
        <w:pStyle w:val="Ttulo3"/>
        <w:rPr>
          <w:sz w:val="18"/>
          <w:szCs w:val="18"/>
        </w:rPr>
      </w:pPr>
      <w:hyperlink r:id="rId7" w:history="1">
        <w:r w:rsidR="001155D3" w:rsidRPr="00206B2B">
          <w:rPr>
            <w:rStyle w:val="Hipervnculo"/>
          </w:rPr>
          <w:t>j.gavira@csic.es</w:t>
        </w:r>
      </w:hyperlink>
      <w:r w:rsidR="001155D3">
        <w:rPr>
          <w:lang w:eastAsia="de-DE"/>
        </w:rPr>
        <w:br/>
      </w:r>
    </w:p>
    <w:p w14:paraId="3729A66C" w14:textId="1E85E7A8" w:rsidR="001155D3" w:rsidRPr="001155D3" w:rsidRDefault="001155D3" w:rsidP="001155D3">
      <w:pPr>
        <w:rPr>
          <w:lang w:val="en-US"/>
        </w:rPr>
      </w:pPr>
      <w:r w:rsidRPr="001155D3">
        <w:rPr>
          <w:lang w:val="en-US"/>
        </w:rPr>
        <w:t xml:space="preserve">  Enzyme immobilization is a widely used strategy to extend catalytic lifetime under extreme conditions</w:t>
      </w:r>
      <w:r w:rsidR="00894D83">
        <w:rPr>
          <w:lang w:val="en-US"/>
        </w:rPr>
        <w:t>,</w:t>
      </w:r>
      <w:r w:rsidRPr="001155D3">
        <w:rPr>
          <w:lang w:val="en-US"/>
        </w:rPr>
        <w:t xml:space="preserve"> and to enhance efficiency and reusability. Among the </w:t>
      </w:r>
      <w:r w:rsidR="00824C19">
        <w:rPr>
          <w:lang w:val="en-US"/>
        </w:rPr>
        <w:t>different</w:t>
      </w:r>
      <w:r w:rsidR="00824C19" w:rsidRPr="001155D3">
        <w:rPr>
          <w:lang w:val="en-US"/>
        </w:rPr>
        <w:t xml:space="preserve"> </w:t>
      </w:r>
      <w:r w:rsidRPr="001155D3">
        <w:rPr>
          <w:lang w:val="en-US"/>
        </w:rPr>
        <w:t>immobilization methods, such as enzyme aggregates on different supports, Cross-Linked Enzyme Crystals (CLECs) have emerged as a superior approach, offering enhanced catalyst stability and recoverability</w:t>
      </w:r>
      <w:r w:rsidR="00894D83">
        <w:rPr>
          <w:lang w:val="en-US"/>
        </w:rPr>
        <w:t>,</w:t>
      </w:r>
      <w:r w:rsidRPr="001155D3">
        <w:rPr>
          <w:lang w:val="en-US"/>
        </w:rPr>
        <w:t xml:space="preserve"> compared to Cross-Linked Enzyme Aggregates (CLEAs) [1]. CLECs facilitate easy recovery from the reaction medium for reuse, while also </w:t>
      </w:r>
      <w:r w:rsidR="00894D83">
        <w:t>displaying enhanced enzyme stability under harsh conditions such as high temperatures, extreme pH levels, and the presence of organic solvents. They also provide protection against proteolytic degradation</w:t>
      </w:r>
      <w:r w:rsidR="00375418">
        <w:t xml:space="preserve"> </w:t>
      </w:r>
      <w:r w:rsidRPr="001155D3">
        <w:rPr>
          <w:lang w:val="en-US"/>
        </w:rPr>
        <w:t xml:space="preserve">[2]. Reinforced Cross-Linked Lipase Crystals (R-CLLCs) have been successfully produced at semi-preparative scale for use in packed-bed reactors operating under continuous flow conditions [3]. </w:t>
      </w:r>
      <w:r w:rsidR="00894D83">
        <w:rPr>
          <w:lang w:val="en-US"/>
        </w:rPr>
        <w:t>Moreover</w:t>
      </w:r>
      <w:r w:rsidRPr="001155D3">
        <w:rPr>
          <w:lang w:val="en-US"/>
        </w:rPr>
        <w:t xml:space="preserve">, CLEC-based microreactors have been proposed for biotechnological and sensing applications, demonstrating unprecedented shelf-life and operational stability compared to </w:t>
      </w:r>
      <w:r w:rsidR="00894D83">
        <w:rPr>
          <w:lang w:val="en-US"/>
        </w:rPr>
        <w:t>traditional</w:t>
      </w:r>
      <w:r w:rsidR="00894D83" w:rsidRPr="001155D3">
        <w:rPr>
          <w:lang w:val="en-US"/>
        </w:rPr>
        <w:t xml:space="preserve"> </w:t>
      </w:r>
      <w:r w:rsidRPr="001155D3">
        <w:rPr>
          <w:lang w:val="en-US"/>
        </w:rPr>
        <w:t>biosensors [4].</w:t>
      </w:r>
    </w:p>
    <w:p w14:paraId="53E25DF7" w14:textId="21BA8430" w:rsidR="001155D3" w:rsidRPr="001155D3" w:rsidRDefault="001155D3" w:rsidP="001155D3">
      <w:pPr>
        <w:rPr>
          <w:lang w:val="en-US"/>
        </w:rPr>
      </w:pPr>
      <w:r w:rsidRPr="001155D3">
        <w:rPr>
          <w:lang w:val="en-US"/>
        </w:rPr>
        <w:t xml:space="preserve">  </w:t>
      </w:r>
      <w:r w:rsidR="00894D83">
        <w:rPr>
          <w:lang w:val="en-US"/>
        </w:rPr>
        <w:t>In addition to</w:t>
      </w:r>
      <w:r w:rsidR="00894D83" w:rsidRPr="001155D3">
        <w:rPr>
          <w:lang w:val="en-US"/>
        </w:rPr>
        <w:t xml:space="preserve"> </w:t>
      </w:r>
      <w:r w:rsidRPr="001155D3">
        <w:rPr>
          <w:lang w:val="en-US"/>
        </w:rPr>
        <w:t xml:space="preserve">their physiological </w:t>
      </w:r>
      <w:r w:rsidR="00894D83">
        <w:rPr>
          <w:lang w:val="en-US"/>
        </w:rPr>
        <w:t>roles</w:t>
      </w:r>
      <w:r w:rsidRPr="001155D3">
        <w:rPr>
          <w:lang w:val="en-US"/>
        </w:rPr>
        <w:t xml:space="preserve">, lipases are of </w:t>
      </w:r>
      <w:r w:rsidR="00894D83">
        <w:rPr>
          <w:lang w:val="en-US"/>
        </w:rPr>
        <w:t>significant</w:t>
      </w:r>
      <w:r w:rsidR="00894D83" w:rsidRPr="001155D3">
        <w:rPr>
          <w:lang w:val="en-US"/>
        </w:rPr>
        <w:t xml:space="preserve"> </w:t>
      </w:r>
      <w:r w:rsidRPr="001155D3">
        <w:rPr>
          <w:lang w:val="en-US"/>
        </w:rPr>
        <w:t xml:space="preserve">biotechnological interest due to their catalytic versatility, and are widely employed in biodiesel production, detergents, and food processing [5]. In this study, we </w:t>
      </w:r>
      <w:r w:rsidR="00894D83">
        <w:rPr>
          <w:lang w:val="en-US"/>
        </w:rPr>
        <w:t>used</w:t>
      </w:r>
      <w:r w:rsidR="00894D83" w:rsidRPr="001155D3">
        <w:rPr>
          <w:lang w:val="en-US"/>
        </w:rPr>
        <w:t xml:space="preserve"> </w:t>
      </w:r>
      <w:r w:rsidRPr="001155D3">
        <w:rPr>
          <w:lang w:val="en-US"/>
        </w:rPr>
        <w:t xml:space="preserve">biolipase L, derived from </w:t>
      </w:r>
      <w:proofErr w:type="spellStart"/>
      <w:r w:rsidR="00C423EE" w:rsidRPr="00C423EE">
        <w:rPr>
          <w:i/>
          <w:iCs/>
          <w:lang w:val="en-US"/>
        </w:rPr>
        <w:t>Thermomyces</w:t>
      </w:r>
      <w:proofErr w:type="spellEnd"/>
      <w:r w:rsidR="00C423EE" w:rsidRPr="00C423EE">
        <w:rPr>
          <w:i/>
          <w:iCs/>
          <w:lang w:val="en-US"/>
        </w:rPr>
        <w:t xml:space="preserve"> </w:t>
      </w:r>
      <w:proofErr w:type="spellStart"/>
      <w:r w:rsidR="00C423EE" w:rsidRPr="00C423EE">
        <w:rPr>
          <w:i/>
          <w:iCs/>
          <w:lang w:val="en-US"/>
        </w:rPr>
        <w:t>lanuginosus</w:t>
      </w:r>
      <w:proofErr w:type="spellEnd"/>
      <w:r w:rsidRPr="001155D3">
        <w:rPr>
          <w:lang w:val="en-US"/>
        </w:rPr>
        <w:t>, to demonstrate the potential of CLLCs embedded in microfluidic chips as robust</w:t>
      </w:r>
      <w:r w:rsidR="00894D83">
        <w:rPr>
          <w:lang w:val="en-US"/>
        </w:rPr>
        <w:t>,</w:t>
      </w:r>
      <w:r w:rsidRPr="001155D3">
        <w:rPr>
          <w:lang w:val="en-US"/>
        </w:rPr>
        <w:t xml:space="preserve"> stable sensors capable of detecting </w:t>
      </w:r>
      <w:r w:rsidR="00824C19">
        <w:rPr>
          <w:lang w:val="en-US"/>
        </w:rPr>
        <w:t>nano</w:t>
      </w:r>
      <w:r w:rsidR="00824C19" w:rsidRPr="001155D3">
        <w:rPr>
          <w:lang w:val="en-US"/>
        </w:rPr>
        <w:t xml:space="preserve">molar </w:t>
      </w:r>
      <w:r w:rsidRPr="001155D3">
        <w:rPr>
          <w:lang w:val="en-US"/>
        </w:rPr>
        <w:t>concentrations of the</w:t>
      </w:r>
      <w:r w:rsidR="00824C19">
        <w:rPr>
          <w:lang w:val="en-US"/>
        </w:rPr>
        <w:t xml:space="preserve"> anti-</w:t>
      </w:r>
      <w:r w:rsidR="00894D83">
        <w:rPr>
          <w:lang w:val="en-US"/>
        </w:rPr>
        <w:t>obesity</w:t>
      </w:r>
      <w:r w:rsidR="00824C19">
        <w:rPr>
          <w:lang w:val="en-US"/>
        </w:rPr>
        <w:t xml:space="preserve"> drug</w:t>
      </w:r>
      <w:r w:rsidRPr="001155D3">
        <w:rPr>
          <w:lang w:val="en-US"/>
        </w:rPr>
        <w:t xml:space="preserve"> orlistat</w:t>
      </w:r>
      <w:r w:rsidR="00824C19">
        <w:rPr>
          <w:lang w:val="en-US"/>
        </w:rPr>
        <w:t>,</w:t>
      </w:r>
      <w:r w:rsidR="00135B91">
        <w:rPr>
          <w:lang w:val="en-US"/>
        </w:rPr>
        <w:t xml:space="preserve"> </w:t>
      </w:r>
      <w:r w:rsidR="00894D83">
        <w:rPr>
          <w:lang w:val="en-US"/>
        </w:rPr>
        <w:t>which is commonly found</w:t>
      </w:r>
      <w:r w:rsidR="00824C19" w:rsidRPr="00824C19">
        <w:rPr>
          <w:lang w:val="en-US"/>
        </w:rPr>
        <w:t xml:space="preserve"> in </w:t>
      </w:r>
      <w:r w:rsidR="00824C19" w:rsidRPr="00375418">
        <w:rPr>
          <w:lang w:val="en-US"/>
        </w:rPr>
        <w:t>waste and surface waters</w:t>
      </w:r>
      <w:r w:rsidR="00824C19">
        <w:rPr>
          <w:lang w:val="en-US"/>
        </w:rPr>
        <w:t xml:space="preserve"> [6]</w:t>
      </w:r>
      <w:r w:rsidR="00824C19" w:rsidRPr="00375418">
        <w:rPr>
          <w:lang w:val="en-US"/>
        </w:rPr>
        <w:t>.</w:t>
      </w:r>
      <w:r w:rsidRPr="001155D3">
        <w:rPr>
          <w:lang w:val="en-US"/>
        </w:rPr>
        <w:t xml:space="preserve"> </w:t>
      </w:r>
      <w:r w:rsidR="00894D83">
        <w:rPr>
          <w:lang w:val="en-US"/>
        </w:rPr>
        <w:t>Sensor performance was evaluated by measuring e</w:t>
      </w:r>
      <w:r w:rsidRPr="001155D3">
        <w:rPr>
          <w:lang w:val="en-US"/>
        </w:rPr>
        <w:t xml:space="preserve">nzymatic activity </w:t>
      </w:r>
      <w:r w:rsidR="00894D83">
        <w:rPr>
          <w:lang w:val="en-US"/>
        </w:rPr>
        <w:t xml:space="preserve">with </w:t>
      </w:r>
      <w:r w:rsidRPr="001155D3">
        <w:rPr>
          <w:i/>
          <w:iCs/>
          <w:lang w:val="en-US"/>
        </w:rPr>
        <w:t>p</w:t>
      </w:r>
      <w:r w:rsidRPr="001155D3">
        <w:rPr>
          <w:lang w:val="en-US"/>
        </w:rPr>
        <w:t>-nitrophenyl butyrate under varying pH, temperature, and solvent polarity conditions</w:t>
      </w:r>
      <w:r w:rsidR="00894D83">
        <w:rPr>
          <w:lang w:val="en-US"/>
        </w:rPr>
        <w:t>.</w:t>
      </w:r>
      <w:r w:rsidRPr="001155D3">
        <w:rPr>
          <w:lang w:val="en-US"/>
        </w:rPr>
        <w:t xml:space="preserve"> </w:t>
      </w:r>
    </w:p>
    <w:p w14:paraId="2E3BB9AD" w14:textId="79E079AA" w:rsidR="001155D3" w:rsidRDefault="00375418" w:rsidP="001155D3">
      <w:pPr>
        <w:jc w:val="center"/>
      </w:pPr>
      <w:r w:rsidRPr="00375418">
        <w:rPr>
          <w:noProof/>
        </w:rPr>
        <w:drawing>
          <wp:inline distT="0" distB="0" distL="0" distR="0" wp14:anchorId="33A8769B" wp14:editId="4741AB7F">
            <wp:extent cx="5458691" cy="1565330"/>
            <wp:effectExtent l="0" t="0" r="2540" b="0"/>
            <wp:docPr id="12647841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7841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4706" cy="157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FFBC" w14:textId="77777777" w:rsidR="001155D3" w:rsidRDefault="001155D3" w:rsidP="001155D3">
      <w:pPr>
        <w:pStyle w:val="Ttulo6"/>
      </w:pPr>
      <w:r>
        <w:rPr>
          <w:b/>
        </w:rPr>
        <w:t>Figure 1</w:t>
      </w:r>
      <w:r>
        <w:t>. Schematic representation of the workflow.</w:t>
      </w:r>
    </w:p>
    <w:p w14:paraId="25B599A1" w14:textId="5137EF34" w:rsidR="001155D3" w:rsidRPr="001155D3" w:rsidRDefault="001155D3" w:rsidP="001155D3">
      <w:pPr>
        <w:rPr>
          <w:lang w:val="en-US"/>
        </w:rPr>
      </w:pPr>
      <w:r>
        <w:rPr>
          <w:lang w:val="en-US"/>
        </w:rPr>
        <w:t xml:space="preserve">  </w:t>
      </w:r>
      <w:r w:rsidRPr="001155D3">
        <w:rPr>
          <w:lang w:val="en-US"/>
        </w:rPr>
        <w:t xml:space="preserve">The results revealed high initial activity, excellent reusability </w:t>
      </w:r>
      <w:r w:rsidR="00481593">
        <w:rPr>
          <w:lang w:val="en-US"/>
        </w:rPr>
        <w:t>over</w:t>
      </w:r>
      <w:r w:rsidR="00481593" w:rsidRPr="001155D3">
        <w:rPr>
          <w:lang w:val="en-US"/>
        </w:rPr>
        <w:t xml:space="preserve"> </w:t>
      </w:r>
      <w:r w:rsidRPr="001155D3">
        <w:rPr>
          <w:lang w:val="en-US"/>
        </w:rPr>
        <w:t xml:space="preserve">multiple cycles, and partial irreversible inhibition by orlistat, </w:t>
      </w:r>
      <w:proofErr w:type="spellStart"/>
      <w:r w:rsidR="00481593">
        <w:rPr>
          <w:lang w:val="en-US"/>
        </w:rPr>
        <w:t>hihglighting</w:t>
      </w:r>
      <w:proofErr w:type="spellEnd"/>
      <w:r w:rsidR="00481593">
        <w:rPr>
          <w:lang w:val="en-US"/>
        </w:rPr>
        <w:t xml:space="preserve"> the sensor’s potential for</w:t>
      </w:r>
      <w:r w:rsidRPr="001155D3">
        <w:rPr>
          <w:lang w:val="en-US"/>
        </w:rPr>
        <w:t xml:space="preserve"> contaminant detection. </w:t>
      </w:r>
      <w:r w:rsidR="00481593">
        <w:rPr>
          <w:lang w:val="en-US"/>
        </w:rPr>
        <w:t>Additional</w:t>
      </w:r>
      <w:r w:rsidR="00481593" w:rsidRPr="001155D3">
        <w:rPr>
          <w:lang w:val="en-US"/>
        </w:rPr>
        <w:t xml:space="preserve"> </w:t>
      </w:r>
      <w:r w:rsidRPr="001155D3">
        <w:rPr>
          <w:lang w:val="en-US"/>
        </w:rPr>
        <w:t xml:space="preserve">characterization confirmed </w:t>
      </w:r>
      <w:r w:rsidR="00481593">
        <w:rPr>
          <w:lang w:val="en-US"/>
        </w:rPr>
        <w:t xml:space="preserve">both </w:t>
      </w:r>
      <w:r w:rsidRPr="001155D3">
        <w:rPr>
          <w:lang w:val="en-US"/>
        </w:rPr>
        <w:t xml:space="preserve">amidase and esterification activities in non-aqueous media, </w:t>
      </w:r>
      <w:r w:rsidR="00481593">
        <w:rPr>
          <w:lang w:val="en-US"/>
        </w:rPr>
        <w:t>further broadening</w:t>
      </w:r>
      <w:r w:rsidR="00481593" w:rsidRPr="001155D3">
        <w:rPr>
          <w:lang w:val="en-US"/>
        </w:rPr>
        <w:t xml:space="preserve"> </w:t>
      </w:r>
      <w:r w:rsidRPr="001155D3">
        <w:rPr>
          <w:lang w:val="en-US"/>
        </w:rPr>
        <w:t>the device</w:t>
      </w:r>
      <w:r w:rsidR="00481593">
        <w:rPr>
          <w:lang w:val="en-US"/>
        </w:rPr>
        <w:t>’s applicability</w:t>
      </w:r>
      <w:r w:rsidRPr="001155D3">
        <w:rPr>
          <w:lang w:val="en-US"/>
        </w:rPr>
        <w:t>.</w:t>
      </w:r>
    </w:p>
    <w:p w14:paraId="448290FD" w14:textId="32D055F1" w:rsidR="001155D3" w:rsidRPr="00375418" w:rsidRDefault="001155D3" w:rsidP="001155D3">
      <w:pPr>
        <w:rPr>
          <w:lang w:val="en-US"/>
        </w:rPr>
      </w:pPr>
      <w:r w:rsidRPr="001155D3">
        <w:rPr>
          <w:lang w:val="en-US"/>
        </w:rPr>
        <w:t xml:space="preserve">  In </w:t>
      </w:r>
      <w:r w:rsidR="00481593">
        <w:rPr>
          <w:lang w:val="en-US"/>
        </w:rPr>
        <w:t>conclusion</w:t>
      </w:r>
      <w:r w:rsidRPr="001155D3">
        <w:rPr>
          <w:lang w:val="en-US"/>
        </w:rPr>
        <w:t xml:space="preserve">, this study supports the development of compact, stable, and versatile enzymatic devices for environmental monitoring </w:t>
      </w:r>
      <w:r w:rsidR="00481593">
        <w:rPr>
          <w:lang w:val="en-US"/>
        </w:rPr>
        <w:t>based on</w:t>
      </w:r>
      <w:r w:rsidR="00481593" w:rsidRPr="001155D3">
        <w:rPr>
          <w:lang w:val="en-US"/>
        </w:rPr>
        <w:t xml:space="preserve"> </w:t>
      </w:r>
      <w:r w:rsidRPr="001155D3">
        <w:rPr>
          <w:lang w:val="en-US"/>
        </w:rPr>
        <w:t xml:space="preserve">activity-based detection. </w:t>
      </w:r>
      <w:r w:rsidR="00481593">
        <w:rPr>
          <w:lang w:val="en-US"/>
        </w:rPr>
        <w:t>Beyond the intrinsic benefits</w:t>
      </w:r>
      <w:r w:rsidRPr="001155D3">
        <w:rPr>
          <w:lang w:val="en-US"/>
        </w:rPr>
        <w:t xml:space="preserve"> of CLECs, integration into a microfluidic system enables continuous-flow operation, </w:t>
      </w:r>
      <w:r w:rsidR="00481593">
        <w:rPr>
          <w:lang w:val="en-US"/>
        </w:rPr>
        <w:t>achieving</w:t>
      </w:r>
      <w:r w:rsidRPr="001155D3">
        <w:rPr>
          <w:lang w:val="en-US"/>
        </w:rPr>
        <w:t xml:space="preserve"> a sevenfold increase in enzymatic activity compared to batch mode, while </w:t>
      </w:r>
      <w:r w:rsidR="00481593">
        <w:t>preserving the ability to reuse each device multiple times.</w:t>
      </w:r>
    </w:p>
    <w:p w14:paraId="6001074F" w14:textId="77777777" w:rsidR="001155D3" w:rsidRDefault="001155D3" w:rsidP="001155D3">
      <w:pPr>
        <w:pStyle w:val="Ttulo4"/>
      </w:pPr>
      <w:r>
        <w:t xml:space="preserve">[1] Brady, D. et al., (2009). </w:t>
      </w:r>
      <w:r w:rsidRPr="001155D3">
        <w:rPr>
          <w:i/>
          <w:iCs/>
        </w:rPr>
        <w:t>J. Biotech. Letters.</w:t>
      </w:r>
      <w:r>
        <w:t xml:space="preserve"> </w:t>
      </w:r>
      <w:r w:rsidRPr="001155D3">
        <w:rPr>
          <w:b/>
          <w:bCs w:val="0"/>
        </w:rPr>
        <w:t>31</w:t>
      </w:r>
      <w:r>
        <w:t>, 1639.</w:t>
      </w:r>
    </w:p>
    <w:p w14:paraId="228253E4" w14:textId="77777777" w:rsidR="001155D3" w:rsidRPr="001155D3" w:rsidRDefault="001155D3" w:rsidP="001155D3">
      <w:pPr>
        <w:pStyle w:val="Ttulo4"/>
        <w:rPr>
          <w:lang w:val="es-ES"/>
        </w:rPr>
      </w:pPr>
      <w:r>
        <w:t xml:space="preserve">[2] Margolin &amp; </w:t>
      </w:r>
      <w:proofErr w:type="spellStart"/>
      <w:r>
        <w:t>Navia</w:t>
      </w:r>
      <w:proofErr w:type="spellEnd"/>
      <w:r>
        <w:t xml:space="preserve">, (2001). </w:t>
      </w:r>
      <w:proofErr w:type="spellStart"/>
      <w:r w:rsidRPr="001155D3">
        <w:rPr>
          <w:i/>
          <w:iCs/>
        </w:rPr>
        <w:t>Angew</w:t>
      </w:r>
      <w:proofErr w:type="spellEnd"/>
      <w:r w:rsidRPr="001155D3">
        <w:rPr>
          <w:i/>
          <w:iCs/>
        </w:rPr>
        <w:t xml:space="preserve">. Chem. Int. </w:t>
      </w:r>
      <w:r w:rsidRPr="001155D3">
        <w:rPr>
          <w:i/>
          <w:iCs/>
          <w:lang w:val="es-ES"/>
        </w:rPr>
        <w:t>Ed Engl</w:t>
      </w:r>
      <w:r>
        <w:rPr>
          <w:lang w:val="es-ES"/>
        </w:rPr>
        <w:t>.</w:t>
      </w:r>
      <w:r w:rsidRPr="001155D3">
        <w:rPr>
          <w:lang w:val="es-ES"/>
        </w:rPr>
        <w:t xml:space="preserve">, </w:t>
      </w:r>
      <w:r w:rsidRPr="001155D3">
        <w:rPr>
          <w:b/>
          <w:bCs w:val="0"/>
          <w:lang w:val="es-ES"/>
        </w:rPr>
        <w:t>40</w:t>
      </w:r>
      <w:r w:rsidRPr="001155D3">
        <w:rPr>
          <w:lang w:val="es-ES"/>
        </w:rPr>
        <w:t>, 2204.</w:t>
      </w:r>
    </w:p>
    <w:p w14:paraId="7CD924C5" w14:textId="77777777" w:rsidR="001155D3" w:rsidRPr="00375418" w:rsidRDefault="001155D3" w:rsidP="001155D3">
      <w:pPr>
        <w:pStyle w:val="Ttulo4"/>
        <w:rPr>
          <w:lang w:val="fr-FR"/>
        </w:rPr>
      </w:pPr>
      <w:r w:rsidRPr="001155D3">
        <w:rPr>
          <w:lang w:val="es-ES"/>
        </w:rPr>
        <w:t xml:space="preserve">[3] </w:t>
      </w:r>
      <w:proofErr w:type="spellStart"/>
      <w:r w:rsidRPr="001155D3">
        <w:rPr>
          <w:lang w:val="es-ES"/>
        </w:rPr>
        <w:t>Fernandez</w:t>
      </w:r>
      <w:proofErr w:type="spellEnd"/>
      <w:r w:rsidRPr="001155D3">
        <w:rPr>
          <w:lang w:val="es-ES"/>
        </w:rPr>
        <w:t xml:space="preserve">-Penas et al., (2021). </w:t>
      </w:r>
      <w:proofErr w:type="spellStart"/>
      <w:r w:rsidRPr="00375418">
        <w:rPr>
          <w:i/>
          <w:iCs/>
          <w:lang w:val="fr-FR"/>
        </w:rPr>
        <w:t>Cryst</w:t>
      </w:r>
      <w:proofErr w:type="spellEnd"/>
      <w:r w:rsidRPr="00375418">
        <w:rPr>
          <w:i/>
          <w:iCs/>
          <w:lang w:val="fr-FR"/>
        </w:rPr>
        <w:t xml:space="preserve">. </w:t>
      </w:r>
      <w:proofErr w:type="spellStart"/>
      <w:r w:rsidRPr="00375418">
        <w:rPr>
          <w:i/>
          <w:iCs/>
          <w:lang w:val="fr-FR"/>
        </w:rPr>
        <w:t>Growth</w:t>
      </w:r>
      <w:proofErr w:type="spellEnd"/>
      <w:r w:rsidRPr="00375418">
        <w:rPr>
          <w:i/>
          <w:iCs/>
          <w:lang w:val="fr-FR"/>
        </w:rPr>
        <w:t xml:space="preserve"> Des.</w:t>
      </w:r>
      <w:r w:rsidRPr="00375418">
        <w:rPr>
          <w:lang w:val="fr-FR"/>
        </w:rPr>
        <w:t xml:space="preserve">, </w:t>
      </w:r>
      <w:r w:rsidRPr="00375418">
        <w:rPr>
          <w:b/>
          <w:bCs w:val="0"/>
          <w:lang w:val="fr-FR"/>
        </w:rPr>
        <w:t>21</w:t>
      </w:r>
      <w:r w:rsidRPr="00375418">
        <w:rPr>
          <w:lang w:val="fr-FR"/>
        </w:rPr>
        <w:t>, 1698.</w:t>
      </w:r>
    </w:p>
    <w:p w14:paraId="31649CB1" w14:textId="77777777" w:rsidR="001155D3" w:rsidRPr="00375418" w:rsidRDefault="001155D3" w:rsidP="001155D3">
      <w:pPr>
        <w:pStyle w:val="Ttulo4"/>
        <w:rPr>
          <w:lang w:val="fr-FR"/>
        </w:rPr>
      </w:pPr>
      <w:r w:rsidRPr="00375418">
        <w:rPr>
          <w:lang w:val="fr-FR"/>
        </w:rPr>
        <w:t xml:space="preserve">[4] </w:t>
      </w:r>
      <w:proofErr w:type="spellStart"/>
      <w:r w:rsidRPr="00375418">
        <w:rPr>
          <w:lang w:val="fr-FR"/>
        </w:rPr>
        <w:t>Conejero</w:t>
      </w:r>
      <w:proofErr w:type="spellEnd"/>
      <w:r w:rsidRPr="00375418">
        <w:rPr>
          <w:lang w:val="fr-FR"/>
        </w:rPr>
        <w:t xml:space="preserve">-Muriel et al., (2016). </w:t>
      </w:r>
      <w:r w:rsidRPr="00375418">
        <w:rPr>
          <w:i/>
          <w:iCs/>
          <w:lang w:val="fr-FR"/>
        </w:rPr>
        <w:t xml:space="preserve">Anal. </w:t>
      </w:r>
      <w:proofErr w:type="spellStart"/>
      <w:r w:rsidRPr="00375418">
        <w:rPr>
          <w:i/>
          <w:iCs/>
          <w:lang w:val="fr-FR"/>
        </w:rPr>
        <w:t>Chem</w:t>
      </w:r>
      <w:proofErr w:type="spellEnd"/>
      <w:r w:rsidRPr="00375418">
        <w:rPr>
          <w:i/>
          <w:iCs/>
          <w:lang w:val="fr-FR"/>
        </w:rPr>
        <w:t>.</w:t>
      </w:r>
      <w:r w:rsidRPr="00375418">
        <w:rPr>
          <w:lang w:val="fr-FR"/>
        </w:rPr>
        <w:t xml:space="preserve">, </w:t>
      </w:r>
      <w:r w:rsidRPr="00375418">
        <w:rPr>
          <w:b/>
          <w:bCs w:val="0"/>
          <w:lang w:val="fr-FR"/>
        </w:rPr>
        <w:t>88</w:t>
      </w:r>
      <w:r w:rsidRPr="00375418">
        <w:rPr>
          <w:lang w:val="fr-FR"/>
        </w:rPr>
        <w:t>, 11919.</w:t>
      </w:r>
    </w:p>
    <w:p w14:paraId="7BDC0757" w14:textId="77777777" w:rsidR="00661483" w:rsidRPr="00375418" w:rsidRDefault="001155D3" w:rsidP="001155D3">
      <w:pPr>
        <w:pStyle w:val="Ttulo4"/>
        <w:rPr>
          <w:szCs w:val="18"/>
          <w:lang w:val="fr-FR"/>
        </w:rPr>
      </w:pPr>
      <w:r w:rsidRPr="001155D3">
        <w:rPr>
          <w:lang w:val="es-ES"/>
        </w:rPr>
        <w:t xml:space="preserve">[5] </w:t>
      </w:r>
      <w:proofErr w:type="spellStart"/>
      <w:r w:rsidRPr="001155D3">
        <w:rPr>
          <w:lang w:val="es-ES"/>
        </w:rPr>
        <w:t>Chandra</w:t>
      </w:r>
      <w:proofErr w:type="spellEnd"/>
      <w:r w:rsidRPr="001155D3">
        <w:rPr>
          <w:lang w:val="es-ES"/>
        </w:rPr>
        <w:t>, P., et al., (2020</w:t>
      </w:r>
      <w:r w:rsidRPr="00F16FC5">
        <w:rPr>
          <w:szCs w:val="18"/>
          <w:lang w:val="es-ES"/>
        </w:rPr>
        <w:t xml:space="preserve">). </w:t>
      </w:r>
      <w:proofErr w:type="spellStart"/>
      <w:r w:rsidRPr="00F16FC5">
        <w:rPr>
          <w:i/>
          <w:iCs/>
          <w:szCs w:val="18"/>
          <w:lang w:val="es-ES"/>
        </w:rPr>
        <w:t>Microb</w:t>
      </w:r>
      <w:proofErr w:type="spellEnd"/>
      <w:r w:rsidRPr="00F16FC5">
        <w:rPr>
          <w:i/>
          <w:iCs/>
          <w:szCs w:val="18"/>
          <w:lang w:val="es-ES"/>
        </w:rPr>
        <w:t xml:space="preserve">. </w:t>
      </w:r>
      <w:proofErr w:type="spellStart"/>
      <w:r w:rsidRPr="00375418">
        <w:rPr>
          <w:i/>
          <w:iCs/>
          <w:szCs w:val="18"/>
          <w:lang w:val="fr-FR"/>
        </w:rPr>
        <w:t>Cell</w:t>
      </w:r>
      <w:proofErr w:type="spellEnd"/>
      <w:r w:rsidRPr="00375418">
        <w:rPr>
          <w:i/>
          <w:iCs/>
          <w:szCs w:val="18"/>
          <w:lang w:val="fr-FR"/>
        </w:rPr>
        <w:t xml:space="preserve"> Fact.</w:t>
      </w:r>
      <w:r w:rsidRPr="00375418">
        <w:rPr>
          <w:szCs w:val="18"/>
          <w:lang w:val="fr-FR"/>
        </w:rPr>
        <w:t xml:space="preserve">, </w:t>
      </w:r>
      <w:r w:rsidRPr="00375418">
        <w:rPr>
          <w:b/>
          <w:bCs w:val="0"/>
          <w:szCs w:val="18"/>
          <w:lang w:val="fr-FR"/>
        </w:rPr>
        <w:t>19,</w:t>
      </w:r>
      <w:r w:rsidRPr="00375418">
        <w:rPr>
          <w:szCs w:val="18"/>
          <w:lang w:val="fr-FR"/>
        </w:rPr>
        <w:t xml:space="preserve"> 1.</w:t>
      </w:r>
    </w:p>
    <w:p w14:paraId="3F5F8D3E" w14:textId="2C3E33C6" w:rsidR="00F16FC5" w:rsidRPr="00697B88" w:rsidRDefault="00F16FC5" w:rsidP="00375418">
      <w:pPr>
        <w:rPr>
          <w:szCs w:val="18"/>
          <w:lang w:val="en-US"/>
        </w:rPr>
      </w:pPr>
      <w:r w:rsidRPr="00697B88">
        <w:rPr>
          <w:sz w:val="18"/>
          <w:szCs w:val="18"/>
          <w:lang w:val="en-US" w:eastAsia="cs-CZ"/>
        </w:rPr>
        <w:t xml:space="preserve">[6] Garcia-Ac, A., et al., (2009). </w:t>
      </w:r>
      <w:r w:rsidRPr="00697B88">
        <w:rPr>
          <w:i/>
          <w:iCs/>
          <w:sz w:val="18"/>
          <w:szCs w:val="18"/>
          <w:lang w:val="en-US" w:eastAsia="cs-CZ"/>
        </w:rPr>
        <w:t xml:space="preserve">J. Environ. </w:t>
      </w:r>
      <w:proofErr w:type="spellStart"/>
      <w:r w:rsidRPr="00697B88">
        <w:rPr>
          <w:i/>
          <w:iCs/>
          <w:sz w:val="18"/>
          <w:szCs w:val="18"/>
          <w:lang w:val="en-US" w:eastAsia="cs-CZ"/>
        </w:rPr>
        <w:t>Monit</w:t>
      </w:r>
      <w:proofErr w:type="spellEnd"/>
      <w:r w:rsidRPr="00697B88">
        <w:rPr>
          <w:i/>
          <w:iCs/>
          <w:sz w:val="18"/>
          <w:szCs w:val="18"/>
          <w:lang w:val="en-US" w:eastAsia="cs-CZ"/>
        </w:rPr>
        <w:t>.,</w:t>
      </w:r>
      <w:r w:rsidRPr="00697B88">
        <w:rPr>
          <w:sz w:val="18"/>
          <w:szCs w:val="18"/>
          <w:lang w:val="en-US" w:eastAsia="cs-CZ"/>
        </w:rPr>
        <w:t xml:space="preserve"> </w:t>
      </w:r>
      <w:r w:rsidRPr="00697B88">
        <w:rPr>
          <w:b/>
          <w:bCs/>
          <w:sz w:val="18"/>
          <w:szCs w:val="18"/>
          <w:lang w:val="en-US" w:eastAsia="cs-CZ"/>
        </w:rPr>
        <w:t>11</w:t>
      </w:r>
      <w:r w:rsidRPr="00697B88">
        <w:rPr>
          <w:sz w:val="18"/>
          <w:szCs w:val="18"/>
          <w:lang w:val="en-US" w:eastAsia="cs-CZ"/>
        </w:rPr>
        <w:t>, 830.</w:t>
      </w:r>
    </w:p>
    <w:p w14:paraId="43129B07" w14:textId="5D686142" w:rsidR="00661483" w:rsidRDefault="001155D3">
      <w:pPr>
        <w:pStyle w:val="Acknowledgement"/>
      </w:pPr>
      <w:r w:rsidRPr="001155D3">
        <w:rPr>
          <w:lang w:eastAsia="cs-CZ"/>
        </w:rPr>
        <w:t>Supported by the Spanish Ministry for Science and Innovation/</w:t>
      </w:r>
      <w:proofErr w:type="spellStart"/>
      <w:r w:rsidRPr="001155D3">
        <w:rPr>
          <w:lang w:eastAsia="cs-CZ"/>
        </w:rPr>
        <w:t>Agencia</w:t>
      </w:r>
      <w:proofErr w:type="spellEnd"/>
      <w:r w:rsidRPr="001155D3">
        <w:rPr>
          <w:lang w:eastAsia="cs-CZ"/>
        </w:rPr>
        <w:t xml:space="preserve"> </w:t>
      </w:r>
      <w:proofErr w:type="spellStart"/>
      <w:r w:rsidRPr="001155D3">
        <w:rPr>
          <w:lang w:eastAsia="cs-CZ"/>
        </w:rPr>
        <w:t>Estatal</w:t>
      </w:r>
      <w:proofErr w:type="spellEnd"/>
      <w:r w:rsidRPr="001155D3">
        <w:rPr>
          <w:lang w:eastAsia="cs-CZ"/>
        </w:rPr>
        <w:t xml:space="preserve"> de </w:t>
      </w:r>
      <w:proofErr w:type="spellStart"/>
      <w:r w:rsidRPr="001155D3">
        <w:rPr>
          <w:lang w:eastAsia="cs-CZ"/>
        </w:rPr>
        <w:t>Investigación</w:t>
      </w:r>
      <w:proofErr w:type="spellEnd"/>
      <w:r w:rsidRPr="001155D3">
        <w:rPr>
          <w:lang w:eastAsia="cs-CZ"/>
        </w:rPr>
        <w:t xml:space="preserve"> 10.13039/501100011033, grant PID2020-116261GB-I</w:t>
      </w:r>
      <w:r w:rsidR="00D123CF">
        <w:rPr>
          <w:lang w:eastAsia="cs-CZ"/>
        </w:rPr>
        <w:t xml:space="preserve">, and by the </w:t>
      </w:r>
      <w:proofErr w:type="spellStart"/>
      <w:r w:rsidR="00D123CF">
        <w:rPr>
          <w:lang w:eastAsia="cs-CZ"/>
        </w:rPr>
        <w:t>Institut</w:t>
      </w:r>
      <w:proofErr w:type="spellEnd"/>
      <w:r w:rsidR="00D123CF">
        <w:rPr>
          <w:lang w:eastAsia="cs-CZ"/>
        </w:rPr>
        <w:t xml:space="preserve"> National </w:t>
      </w:r>
      <w:proofErr w:type="spellStart"/>
      <w:r w:rsidR="00D123CF">
        <w:rPr>
          <w:lang w:eastAsia="cs-CZ"/>
        </w:rPr>
        <w:t>Politechnique</w:t>
      </w:r>
      <w:proofErr w:type="spellEnd"/>
      <w:r w:rsidR="00D123CF">
        <w:rPr>
          <w:lang w:eastAsia="cs-CZ"/>
        </w:rPr>
        <w:t xml:space="preserve"> de Toulouse ETI 2025 program (project </w:t>
      </w:r>
      <w:proofErr w:type="spellStart"/>
      <w:r w:rsidR="00D123CF">
        <w:rPr>
          <w:lang w:eastAsia="cs-CZ"/>
        </w:rPr>
        <w:t>InCySe</w:t>
      </w:r>
      <w:proofErr w:type="spellEnd"/>
      <w:r w:rsidR="00D123CF">
        <w:rPr>
          <w:lang w:eastAsia="cs-CZ"/>
        </w:rPr>
        <w:t>)</w:t>
      </w:r>
    </w:p>
    <w:sectPr w:rsidR="00661483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E189" w14:textId="77777777" w:rsidR="00FD119A" w:rsidRDefault="00FD119A">
      <w:pPr>
        <w:spacing w:after="0"/>
      </w:pPr>
      <w:r>
        <w:separator/>
      </w:r>
    </w:p>
  </w:endnote>
  <w:endnote w:type="continuationSeparator" w:id="0">
    <w:p w14:paraId="42D50195" w14:textId="77777777" w:rsidR="00FD119A" w:rsidRDefault="00FD11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1558" w14:textId="77777777" w:rsidR="00661483" w:rsidRDefault="000C3433">
    <w:pPr>
      <w:pStyle w:val="Piedepgina"/>
    </w:pPr>
    <w:r>
      <w:t xml:space="preserve">Acta </w:t>
    </w:r>
    <w:proofErr w:type="spellStart"/>
    <w:r>
      <w:t>Cryst</w:t>
    </w:r>
    <w:proofErr w:type="spellEnd"/>
    <w:r>
      <w:t>. (2025). A81, e1</w:t>
    </w:r>
  </w:p>
  <w:p w14:paraId="15ADA651" w14:textId="77777777" w:rsidR="00661483" w:rsidRDefault="00661483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351D" w14:textId="77777777" w:rsidR="00FD119A" w:rsidRDefault="00FD119A">
      <w:pPr>
        <w:spacing w:after="0"/>
      </w:pPr>
      <w:r>
        <w:separator/>
      </w:r>
    </w:p>
  </w:footnote>
  <w:footnote w:type="continuationSeparator" w:id="0">
    <w:p w14:paraId="6B712A4A" w14:textId="77777777" w:rsidR="00FD119A" w:rsidRDefault="00FD11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9F99" w14:textId="77777777" w:rsidR="00661483" w:rsidRDefault="000C3433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proofErr w:type="spellStart"/>
    <w:r>
      <w:rPr>
        <w:b/>
        <w:bCs/>
      </w:rPr>
      <w:t>Microsymposium</w:t>
    </w:r>
    <w:proofErr w:type="spellEnd"/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83"/>
    <w:rsid w:val="000C3433"/>
    <w:rsid w:val="00101E1B"/>
    <w:rsid w:val="001155D3"/>
    <w:rsid w:val="00135B91"/>
    <w:rsid w:val="00375418"/>
    <w:rsid w:val="003F2262"/>
    <w:rsid w:val="00481593"/>
    <w:rsid w:val="004A2437"/>
    <w:rsid w:val="00661483"/>
    <w:rsid w:val="00697B88"/>
    <w:rsid w:val="00811605"/>
    <w:rsid w:val="00824C19"/>
    <w:rsid w:val="00894D83"/>
    <w:rsid w:val="00910661"/>
    <w:rsid w:val="00926871"/>
    <w:rsid w:val="00C423EE"/>
    <w:rsid w:val="00C51123"/>
    <w:rsid w:val="00D123CF"/>
    <w:rsid w:val="00E54FA0"/>
    <w:rsid w:val="00F16FC5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908E"/>
  <w15:docId w15:val="{0E00B220-1653-B14F-9B49-53DB02B6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Ttulo1">
    <w:name w:val="heading 1"/>
    <w:basedOn w:val="Normal"/>
    <w:next w:val="Ttulo2"/>
    <w:link w:val="Ttulo1C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Ttulo3"/>
    <w:link w:val="Ttulo2C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Ttulo4">
    <w:name w:val="heading 4"/>
    <w:basedOn w:val="Normal"/>
    <w:next w:val="Normal"/>
    <w:link w:val="Ttulo4C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Ttulo5">
    <w:name w:val="heading 5"/>
    <w:basedOn w:val="Ttulo6"/>
    <w:next w:val="Normal"/>
    <w:link w:val="Ttulo5Car"/>
    <w:uiPriority w:val="9"/>
    <w:unhideWhenUsed/>
    <w:qFormat/>
    <w:rsid w:val="00605A18"/>
    <w:pPr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Ttulo2Car">
    <w:name w:val="Título 2 Car"/>
    <w:link w:val="Ttulo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tulo3Car">
    <w:name w:val="Título 3 Car"/>
    <w:link w:val="Ttulo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Ttulo4Car">
    <w:name w:val="Título 4 Car"/>
    <w:link w:val="Ttulo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DireccinHTMLCar">
    <w:name w:val="Dirección HTML Car"/>
    <w:link w:val="DireccinHTML"/>
    <w:uiPriority w:val="99"/>
    <w:semiHidden/>
    <w:qFormat/>
    <w:rsid w:val="005E6DCD"/>
    <w:rPr>
      <w:i/>
      <w:iCs/>
      <w:lang w:val="de-DE" w:eastAsia="de-DE"/>
    </w:rPr>
  </w:style>
  <w:style w:type="character" w:customStyle="1" w:styleId="Ttulo5Car">
    <w:name w:val="Título 5 Car"/>
    <w:link w:val="Ttulo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Ttulo6Car">
    <w:name w:val="Título 6 Car"/>
    <w:link w:val="Ttulo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EncabezadoCar">
    <w:name w:val="Encabezado Car"/>
    <w:link w:val="Encabezado"/>
    <w:uiPriority w:val="99"/>
    <w:qFormat/>
    <w:rsid w:val="00D13351"/>
    <w:rPr>
      <w:lang w:val="en-GB" w:eastAsia="de-DE"/>
    </w:rPr>
  </w:style>
  <w:style w:type="character" w:customStyle="1" w:styleId="PiedepginaCar">
    <w:name w:val="Pie de página Car"/>
    <w:link w:val="Piedepgina"/>
    <w:uiPriority w:val="99"/>
    <w:qFormat/>
    <w:rsid w:val="00D13351"/>
    <w:rPr>
      <w:lang w:val="en-GB" w:eastAsia="de-DE"/>
    </w:rPr>
  </w:style>
  <w:style w:type="character" w:customStyle="1" w:styleId="TextodegloboCar">
    <w:name w:val="Texto de globo Car"/>
    <w:link w:val="Textodeglobo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DireccinHTML">
    <w:name w:val="HTML Address"/>
    <w:basedOn w:val="Normal"/>
    <w:link w:val="DireccinHTMLC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5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5D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4C19"/>
    <w:pPr>
      <w:suppressAutoHyphens w:val="0"/>
    </w:pPr>
    <w:rPr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F16F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6FC5"/>
  </w:style>
  <w:style w:type="character" w:customStyle="1" w:styleId="TextocomentarioCar">
    <w:name w:val="Texto comentario Car"/>
    <w:basedOn w:val="Fuentedeprrafopredeter"/>
    <w:link w:val="Textocomentario"/>
    <w:uiPriority w:val="99"/>
    <w:rsid w:val="00F16FC5"/>
    <w:rPr>
      <w:lang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6F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6FC5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.gavira@csi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Materials Structure</vt:lpstr>
      <vt:lpstr>Materials Structure</vt:lpstr>
    </vt:vector>
  </TitlesOfParts>
  <Company>MFF UK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Jose A. Gavira</cp:lastModifiedBy>
  <cp:revision>5</cp:revision>
  <dcterms:created xsi:type="dcterms:W3CDTF">2025-05-08T13:17:00Z</dcterms:created>
  <dcterms:modified xsi:type="dcterms:W3CDTF">2025-05-14T14:11:00Z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