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20F91" w14:textId="3117491D" w:rsidR="00615C5F" w:rsidRDefault="00574CC6">
      <w:pPr>
        <w:pStyle w:val="Heading1"/>
      </w:pPr>
      <w:r w:rsidRPr="00574CC6">
        <w:t>Holistic approach for estimating lattice thermal conductivity</w:t>
      </w:r>
      <w:r>
        <w:t xml:space="preserve"> in diamond-like materials</w:t>
      </w:r>
    </w:p>
    <w:p w14:paraId="244E614C" w14:textId="71CAC2B1" w:rsidR="00574CC6" w:rsidRDefault="00574CC6" w:rsidP="00574CC6">
      <w:pPr>
        <w:pStyle w:val="Heading2"/>
      </w:pPr>
      <w:r>
        <w:t>Taras Parashchuk</w:t>
      </w:r>
      <w:r w:rsidRPr="00574CC6">
        <w:rPr>
          <w:vertAlign w:val="superscript"/>
        </w:rPr>
        <w:t>1*</w:t>
      </w:r>
    </w:p>
    <w:p w14:paraId="6F8B373F" w14:textId="7BA54AFF" w:rsidR="00615C5F" w:rsidRPr="00574CC6" w:rsidRDefault="00574CC6">
      <w:pPr>
        <w:pStyle w:val="Heading3"/>
      </w:pPr>
      <w:r w:rsidRPr="00574CC6">
        <w:rPr>
          <w:vertAlign w:val="superscript"/>
        </w:rPr>
        <w:t>1</w:t>
      </w:r>
      <w:r w:rsidRPr="00574CC6">
        <w:t xml:space="preserve">AGH University of Krakow, Faculty of Materials Science and Ceramics, Department of Inorganic Chemistry, </w:t>
      </w:r>
      <w:r>
        <w:br/>
      </w:r>
      <w:r w:rsidRPr="00574CC6">
        <w:t>Thermoelectric Research Laboratory, Mickiewicza Ave. 30, 30-059 Krakow, Poland</w:t>
      </w:r>
    </w:p>
    <w:p w14:paraId="4AD35742" w14:textId="08F5F6A3" w:rsidR="00615C5F" w:rsidRDefault="00574CC6">
      <w:pPr>
        <w:pStyle w:val="Heading3"/>
        <w:rPr>
          <w:sz w:val="18"/>
          <w:szCs w:val="18"/>
        </w:rPr>
      </w:pPr>
      <w:r>
        <w:t>parashchuk@agh.edu.pl</w:t>
      </w:r>
      <w:r w:rsidR="00000000">
        <w:rPr>
          <w:lang w:eastAsia="de-DE"/>
        </w:rPr>
        <w:br/>
      </w:r>
    </w:p>
    <w:p w14:paraId="0E43835B" w14:textId="052A32D9" w:rsidR="00DD6BBC" w:rsidRDefault="00DD6BBC">
      <w:pPr>
        <w:rPr>
          <w:iCs/>
          <w:spacing w:val="-2"/>
        </w:rPr>
      </w:pPr>
      <w:r w:rsidRPr="00DD6BBC">
        <w:rPr>
          <w:iCs/>
          <w:spacing w:val="-2"/>
        </w:rPr>
        <w:t xml:space="preserve">The lattice thermal conductivity is only one of the parameters determining the </w:t>
      </w:r>
      <w:r w:rsidRPr="00DD6BBC">
        <w:rPr>
          <w:i/>
          <w:spacing w:val="-2"/>
        </w:rPr>
        <w:t>ZT</w:t>
      </w:r>
      <w:r>
        <w:rPr>
          <w:iCs/>
          <w:spacing w:val="-2"/>
        </w:rPr>
        <w:t xml:space="preserve"> (</w:t>
      </w:r>
      <w:r w:rsidRPr="00DD6BBC">
        <w:rPr>
          <w:i/>
          <w:spacing w:val="-2"/>
        </w:rPr>
        <w:t>ZT</w:t>
      </w:r>
      <w:r w:rsidRPr="00DD6BBC">
        <w:rPr>
          <w:spacing w:val="-2"/>
        </w:rPr>
        <w:t xml:space="preserve"> = </w:t>
      </w:r>
      <w:r w:rsidRPr="00DD6BBC">
        <w:rPr>
          <w:i/>
          <w:spacing w:val="-2"/>
        </w:rPr>
        <w:t>S</w:t>
      </w:r>
      <w:r w:rsidRPr="00DD6BBC">
        <w:rPr>
          <w:spacing w:val="-2"/>
          <w:vertAlign w:val="superscript"/>
        </w:rPr>
        <w:t>2</w:t>
      </w:r>
      <w:r w:rsidRPr="00DD6BBC">
        <w:rPr>
          <w:spacing w:val="-2"/>
        </w:rPr>
        <w:t>σ</w:t>
      </w:r>
      <w:r w:rsidRPr="00DD6BBC">
        <w:rPr>
          <w:i/>
          <w:spacing w:val="-2"/>
        </w:rPr>
        <w:t>T</w:t>
      </w:r>
      <w:r w:rsidRPr="00DD6BBC">
        <w:rPr>
          <w:spacing w:val="-2"/>
        </w:rPr>
        <w:t>/(</w:t>
      </w:r>
      <w:r w:rsidRPr="00DD6BBC">
        <w:rPr>
          <w:i/>
          <w:spacing w:val="-2"/>
        </w:rPr>
        <w:t>κ</w:t>
      </w:r>
      <w:r w:rsidRPr="00DD6BBC">
        <w:rPr>
          <w:spacing w:val="-2"/>
          <w:vertAlign w:val="subscript"/>
        </w:rPr>
        <w:t>L</w:t>
      </w:r>
      <w:r w:rsidRPr="00DD6BBC">
        <w:rPr>
          <w:spacing w:val="-2"/>
        </w:rPr>
        <w:t>+</w:t>
      </w:r>
      <w:r w:rsidRPr="00DD6BBC">
        <w:rPr>
          <w:i/>
          <w:spacing w:val="-2"/>
        </w:rPr>
        <w:t>κ</w:t>
      </w:r>
      <w:r w:rsidRPr="00DD6BBC">
        <w:rPr>
          <w:spacing w:val="-2"/>
          <w:vertAlign w:val="subscript"/>
        </w:rPr>
        <w:t>e</w:t>
      </w:r>
      <w:r w:rsidRPr="00DD6BBC">
        <w:rPr>
          <w:spacing w:val="-2"/>
        </w:rPr>
        <w:t xml:space="preserve">), where </w:t>
      </w:r>
      <w:r w:rsidRPr="00DD6BBC">
        <w:rPr>
          <w:i/>
          <w:spacing w:val="-2"/>
        </w:rPr>
        <w:t>S</w:t>
      </w:r>
      <w:r w:rsidRPr="00DD6BBC">
        <w:rPr>
          <w:spacing w:val="-2"/>
        </w:rPr>
        <w:t xml:space="preserve"> is the Seebeck coefficient, </w:t>
      </w:r>
      <w:r w:rsidRPr="00DD6BBC">
        <w:rPr>
          <w:i/>
          <w:spacing w:val="-2"/>
        </w:rPr>
        <w:t>σ</w:t>
      </w:r>
      <w:r w:rsidRPr="00DD6BBC">
        <w:rPr>
          <w:spacing w:val="-2"/>
        </w:rPr>
        <w:t xml:space="preserve"> is the electrical conductivity, </w:t>
      </w:r>
      <w:r w:rsidRPr="00DD6BBC">
        <w:rPr>
          <w:i/>
          <w:spacing w:val="-2"/>
        </w:rPr>
        <w:t>T</w:t>
      </w:r>
      <w:r w:rsidRPr="00DD6BBC">
        <w:rPr>
          <w:spacing w:val="-2"/>
        </w:rPr>
        <w:t xml:space="preserve"> is the absolute temperature, </w:t>
      </w:r>
      <w:r w:rsidRPr="00DD6BBC">
        <w:rPr>
          <w:i/>
          <w:spacing w:val="-2"/>
        </w:rPr>
        <w:t>κ</w:t>
      </w:r>
      <w:r w:rsidRPr="00DD6BBC">
        <w:rPr>
          <w:spacing w:val="-2"/>
          <w:vertAlign w:val="subscript"/>
        </w:rPr>
        <w:t>L</w:t>
      </w:r>
      <w:r w:rsidRPr="00DD6BBC">
        <w:rPr>
          <w:spacing w:val="-2"/>
        </w:rPr>
        <w:t xml:space="preserve"> and </w:t>
      </w:r>
      <w:r w:rsidRPr="00DD6BBC">
        <w:rPr>
          <w:i/>
          <w:spacing w:val="-2"/>
        </w:rPr>
        <w:t>κ</w:t>
      </w:r>
      <w:r w:rsidRPr="00DD6BBC">
        <w:rPr>
          <w:spacing w:val="-2"/>
          <w:vertAlign w:val="subscript"/>
        </w:rPr>
        <w:t>e,</w:t>
      </w:r>
      <w:r w:rsidRPr="00DD6BBC">
        <w:rPr>
          <w:spacing w:val="-2"/>
        </w:rPr>
        <w:t xml:space="preserve"> represent the lattice and electronic components of the thermal conductivity, respectively</w:t>
      </w:r>
      <w:r>
        <w:rPr>
          <w:spacing w:val="-2"/>
        </w:rPr>
        <w:t>)</w:t>
      </w:r>
      <w:r w:rsidRPr="00DD6BBC">
        <w:rPr>
          <w:iCs/>
          <w:spacing w:val="-2"/>
        </w:rPr>
        <w:t xml:space="preserve">, which can be optimized independently. Therefore, optimizing </w:t>
      </w:r>
      <w:r w:rsidRPr="004477C4">
        <w:rPr>
          <w:i/>
          <w:spacing w:val="-2"/>
        </w:rPr>
        <w:t>κ</w:t>
      </w:r>
      <w:r w:rsidRPr="00DD6BBC">
        <w:rPr>
          <w:iCs/>
          <w:spacing w:val="-2"/>
        </w:rPr>
        <w:t xml:space="preserve">ₗ is a powerful approach to enhance </w:t>
      </w:r>
      <w:r w:rsidRPr="00DD6BBC">
        <w:rPr>
          <w:i/>
          <w:spacing w:val="-2"/>
        </w:rPr>
        <w:t>ZT</w:t>
      </w:r>
      <w:r w:rsidRPr="00DD6BBC">
        <w:rPr>
          <w:iCs/>
          <w:spacing w:val="-2"/>
        </w:rPr>
        <w:t xml:space="preserve"> without compromising electrical properties, and it remains a central focus in the development of next-generation thermoelectric materials.</w:t>
      </w:r>
    </w:p>
    <w:p w14:paraId="277C8C6C" w14:textId="3CC59D7B" w:rsidR="00DD6BBC" w:rsidRDefault="00DD6BBC" w:rsidP="004477C4">
      <w:pPr>
        <w:spacing w:after="0"/>
        <w:rPr>
          <w:iCs/>
          <w:spacing w:val="-2"/>
        </w:rPr>
      </w:pPr>
      <w:r>
        <w:rPr>
          <w:iCs/>
          <w:spacing w:val="-2"/>
        </w:rPr>
        <w:t>The proposed holistic</w:t>
      </w:r>
      <w:r w:rsidRPr="00DD6BBC">
        <w:rPr>
          <w:iCs/>
          <w:spacing w:val="-2"/>
        </w:rPr>
        <w:t xml:space="preserve"> approach relies on widely available experimental techniques such as XRD, SEM/EDS, and optical microscopy to gather information about materials defects. More advanced methods, including Transmission Electron Microscopy (TEM), X-ray Photoelectron Spectroscopy (XPS), Raman spectroscopy, synchrotron radiation, can further enhance defect characterization. The resulting crystal structure data can then be utilized for chemical bonding analysis through Electron Localization Function (ELF) or Electron Localizability Indicator (ELI-D) calculations. From a physical perspective, speed of sound measurements and Debye-Callaway calculations play a crucial role. By combining these chemical and physical insights, the proposed approach enables the calculation of lattice thermal conductivity over the target temperature range using relatively simple measurement tools and theoretical models.</w:t>
      </w:r>
    </w:p>
    <w:p w14:paraId="655D8326" w14:textId="11189643" w:rsidR="004477C4" w:rsidRPr="007E26E2" w:rsidRDefault="004477C4" w:rsidP="004477C4">
      <w:pPr>
        <w:keepNext/>
        <w:spacing w:before="120" w:after="0"/>
        <w:jc w:val="center"/>
        <w:rPr>
          <w:b/>
        </w:rPr>
      </w:pPr>
      <w:r w:rsidRPr="004477C4">
        <w:rPr>
          <w:b/>
          <w:noProof/>
          <w:lang w:val="ru-RU" w:eastAsia="ru-RU"/>
        </w:rPr>
        <w:drawing>
          <wp:inline distT="0" distB="0" distL="0" distR="0" wp14:anchorId="235C875E" wp14:editId="77494CD2">
            <wp:extent cx="4376420" cy="2431415"/>
            <wp:effectExtent l="0" t="0" r="0" b="0"/>
            <wp:docPr id="6" name="Picture 12" descr="A screenshot of a computer g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screenshot of a computer game&#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t="2715"/>
                    <a:stretch>
                      <a:fillRect/>
                    </a:stretch>
                  </pic:blipFill>
                  <pic:spPr bwMode="auto">
                    <a:xfrm>
                      <a:off x="0" y="0"/>
                      <a:ext cx="4376420" cy="2431415"/>
                    </a:xfrm>
                    <a:prstGeom prst="rect">
                      <a:avLst/>
                    </a:prstGeom>
                    <a:noFill/>
                    <a:ln>
                      <a:noFill/>
                    </a:ln>
                  </pic:spPr>
                </pic:pic>
              </a:graphicData>
            </a:graphic>
          </wp:inline>
        </w:drawing>
      </w:r>
    </w:p>
    <w:p w14:paraId="4F7D3CF1" w14:textId="0238D91C" w:rsidR="004477C4" w:rsidRPr="00AF09DF" w:rsidRDefault="004477C4" w:rsidP="004477C4">
      <w:pPr>
        <w:spacing w:after="360"/>
      </w:pPr>
      <w:r w:rsidRPr="00F70B06">
        <w:rPr>
          <w:b/>
        </w:rPr>
        <w:t>Fig</w:t>
      </w:r>
      <w:r>
        <w:rPr>
          <w:b/>
        </w:rPr>
        <w:t>ure</w:t>
      </w:r>
      <w:r w:rsidRPr="00F70B06">
        <w:rPr>
          <w:b/>
        </w:rPr>
        <w:t xml:space="preserve"> </w:t>
      </w:r>
      <w:r>
        <w:rPr>
          <w:b/>
        </w:rPr>
        <w:t>1</w:t>
      </w:r>
      <w:r w:rsidRPr="00F70B06">
        <w:rPr>
          <w:b/>
        </w:rPr>
        <w:t>.</w:t>
      </w:r>
      <w:r w:rsidRPr="00F70B06">
        <w:rPr>
          <w:bCs/>
        </w:rPr>
        <w:t xml:space="preserve"> (a) Rietveld refinement of the powder XRD pattern of Cu</w:t>
      </w:r>
      <w:r w:rsidRPr="00F70B06">
        <w:rPr>
          <w:bCs/>
          <w:vertAlign w:val="subscript"/>
        </w:rPr>
        <w:t>2</w:t>
      </w:r>
      <w:r w:rsidRPr="00F70B06">
        <w:rPr>
          <w:bCs/>
        </w:rPr>
        <w:t>CoSnSe</w:t>
      </w:r>
      <w:r w:rsidRPr="00F70B06">
        <w:rPr>
          <w:bCs/>
          <w:vertAlign w:val="subscript"/>
        </w:rPr>
        <w:t>4</w:t>
      </w:r>
      <w:r w:rsidRPr="00F70B06">
        <w:rPr>
          <w:bCs/>
        </w:rPr>
        <w:t>. (b) Crystal structure of Cu</w:t>
      </w:r>
      <w:r w:rsidRPr="00F70B06">
        <w:rPr>
          <w:bCs/>
          <w:vertAlign w:val="subscript"/>
        </w:rPr>
        <w:t>2</w:t>
      </w:r>
      <w:r w:rsidRPr="00F70B06">
        <w:rPr>
          <w:bCs/>
        </w:rPr>
        <w:t>CoSnSe</w:t>
      </w:r>
      <w:r w:rsidRPr="00F70B06">
        <w:rPr>
          <w:bCs/>
          <w:vertAlign w:val="subscript"/>
        </w:rPr>
        <w:t>4</w:t>
      </w:r>
      <w:r w:rsidRPr="00F70B06">
        <w:rPr>
          <w:bCs/>
        </w:rPr>
        <w:t>. Results of the Debye-Callaway calculations of (c) Cu</w:t>
      </w:r>
      <w:r w:rsidRPr="00F70B06">
        <w:rPr>
          <w:bCs/>
          <w:vertAlign w:val="subscript"/>
        </w:rPr>
        <w:t>2</w:t>
      </w:r>
      <w:r w:rsidRPr="00F70B06">
        <w:rPr>
          <w:bCs/>
        </w:rPr>
        <w:t>CoGeS</w:t>
      </w:r>
      <w:r w:rsidRPr="00F70B06">
        <w:rPr>
          <w:bCs/>
          <w:vertAlign w:val="subscript"/>
        </w:rPr>
        <w:t>4</w:t>
      </w:r>
      <w:r w:rsidRPr="00F70B06">
        <w:rPr>
          <w:bCs/>
        </w:rPr>
        <w:t>, (c) Cu</w:t>
      </w:r>
      <w:r w:rsidRPr="00F70B06">
        <w:rPr>
          <w:bCs/>
          <w:vertAlign w:val="subscript"/>
        </w:rPr>
        <w:t>2</w:t>
      </w:r>
      <w:r w:rsidRPr="00F70B06">
        <w:rPr>
          <w:bCs/>
        </w:rPr>
        <w:t>CoGeSe</w:t>
      </w:r>
      <w:r w:rsidRPr="00F70B06">
        <w:rPr>
          <w:bCs/>
          <w:vertAlign w:val="subscript"/>
        </w:rPr>
        <w:t>4</w:t>
      </w:r>
      <w:r w:rsidRPr="00F70B06">
        <w:rPr>
          <w:bCs/>
        </w:rPr>
        <w:t>, (e) Cu</w:t>
      </w:r>
      <w:r w:rsidRPr="00F70B06">
        <w:rPr>
          <w:bCs/>
          <w:vertAlign w:val="subscript"/>
        </w:rPr>
        <w:t>2</w:t>
      </w:r>
      <w:r w:rsidRPr="00F70B06">
        <w:rPr>
          <w:bCs/>
        </w:rPr>
        <w:t>CoSnS</w:t>
      </w:r>
      <w:r w:rsidRPr="00F70B06">
        <w:rPr>
          <w:bCs/>
          <w:vertAlign w:val="subscript"/>
        </w:rPr>
        <w:t>4</w:t>
      </w:r>
      <w:r w:rsidRPr="00F70B06">
        <w:rPr>
          <w:bCs/>
        </w:rPr>
        <w:t>, and (f) Cu</w:t>
      </w:r>
      <w:r w:rsidRPr="00F70B06">
        <w:rPr>
          <w:bCs/>
          <w:vertAlign w:val="subscript"/>
        </w:rPr>
        <w:t>2</w:t>
      </w:r>
      <w:r w:rsidRPr="00F70B06">
        <w:rPr>
          <w:bCs/>
        </w:rPr>
        <w:t>CoSnSe</w:t>
      </w:r>
      <w:r w:rsidRPr="00F70B06">
        <w:rPr>
          <w:bCs/>
          <w:vertAlign w:val="subscript"/>
        </w:rPr>
        <w:t>4</w:t>
      </w:r>
      <w:r w:rsidRPr="00F70B06">
        <w:rPr>
          <w:bCs/>
        </w:rPr>
        <w:t xml:space="preserve"> diamond-like chalcogenides. </w:t>
      </w:r>
      <w:r w:rsidRPr="00AF09DF">
        <w:t>Panels of the figure are reproduced from [1].</w:t>
      </w:r>
    </w:p>
    <w:p w14:paraId="77488808" w14:textId="34979172" w:rsidR="004477C4" w:rsidRPr="004477C4" w:rsidRDefault="004477C4">
      <w:r w:rsidRPr="004477C4">
        <w:t>For the evaluation of the point defect scheme, it was used the results of the Rietveld refinement of the powder XRD patterns. In the case of the Cu</w:t>
      </w:r>
      <w:r w:rsidRPr="004477C4">
        <w:rPr>
          <w:vertAlign w:val="subscript"/>
        </w:rPr>
        <w:t>2</w:t>
      </w:r>
      <w:r w:rsidRPr="004477C4">
        <w:t>CoSnSe</w:t>
      </w:r>
      <w:r w:rsidRPr="004477C4">
        <w:rPr>
          <w:vertAlign w:val="subscript"/>
        </w:rPr>
        <w:t>4</w:t>
      </w:r>
      <w:r w:rsidRPr="004477C4">
        <w:t xml:space="preserve"> diamond-like chalcogenide, the better residual values of the Rietveld refinement were obtained using the mixed occupancy of Sn and Cu in the 2</w:t>
      </w:r>
      <w:r w:rsidRPr="004477C4">
        <w:rPr>
          <w:i/>
        </w:rPr>
        <w:t>b</w:t>
      </w:r>
      <w:r w:rsidRPr="004477C4">
        <w:t xml:space="preserve"> atomic position (space group </w:t>
      </w:r>
      <w:r w:rsidRPr="004477C4">
        <w:rPr>
          <w:position w:val="-6"/>
        </w:rPr>
        <w:object w:dxaOrig="540" w:dyaOrig="300" w14:anchorId="1C765D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6.65pt;height:14.55pt" o:ole="">
            <v:imagedata r:id="rId8" o:title=""/>
          </v:shape>
          <o:OLEObject Type="Embed" ProgID="Equation.DSMT4" ShapeID="_x0000_i1029" DrawAspect="Content" ObjectID="_1808897743" r:id="rId9"/>
        </w:object>
      </w:r>
      <w:r w:rsidRPr="004477C4">
        <w:t xml:space="preserve">). Therefore, in the Debye-Callaway calculations, </w:t>
      </w:r>
      <w:r>
        <w:t>it was</w:t>
      </w:r>
      <w:r w:rsidRPr="004477C4">
        <w:t xml:space="preserve"> used the defect scheme with the antisite defects Sn</w:t>
      </w:r>
      <w:r w:rsidRPr="004477C4">
        <w:rPr>
          <w:vertAlign w:val="subscript"/>
        </w:rPr>
        <w:t>Cu</w:t>
      </w:r>
      <w:r w:rsidRPr="004477C4">
        <w:t xml:space="preserve"> and Cu</w:t>
      </w:r>
      <w:r w:rsidRPr="004477C4">
        <w:rPr>
          <w:vertAlign w:val="subscript"/>
        </w:rPr>
        <w:t>Sn</w:t>
      </w:r>
      <w:r w:rsidRPr="004477C4">
        <w:t xml:space="preserve"> to account for the </w:t>
      </w:r>
      <w:r>
        <w:t>point defect</w:t>
      </w:r>
      <w:r w:rsidRPr="004477C4">
        <w:t xml:space="preserve"> scattering. Much better agreement between theoretical and experimental </w:t>
      </w:r>
      <w:r w:rsidRPr="004477C4">
        <w:rPr>
          <w:i/>
          <w:iCs/>
        </w:rPr>
        <w:t>κ</w:t>
      </w:r>
      <w:r w:rsidRPr="004477C4">
        <w:rPr>
          <w:vertAlign w:val="subscript"/>
        </w:rPr>
        <w:t>L</w:t>
      </w:r>
      <w:r w:rsidRPr="004477C4">
        <w:t>(</w:t>
      </w:r>
      <w:r w:rsidRPr="004477C4">
        <w:rPr>
          <w:i/>
          <w:iCs/>
        </w:rPr>
        <w:t>T</w:t>
      </w:r>
      <w:r w:rsidRPr="004477C4">
        <w:t>) was obtained for the investigated DLS material after accounting for the mentioned point defects. A similar defect strategy was also applied to the case of Cu</w:t>
      </w:r>
      <w:r w:rsidRPr="004477C4">
        <w:rPr>
          <w:vertAlign w:val="subscript"/>
        </w:rPr>
        <w:t>2</w:t>
      </w:r>
      <w:r w:rsidRPr="004477C4">
        <w:t>CoGeSe</w:t>
      </w:r>
      <w:r w:rsidRPr="004477C4">
        <w:rPr>
          <w:vertAlign w:val="subscript"/>
        </w:rPr>
        <w:t>4</w:t>
      </w:r>
      <w:r w:rsidRPr="004477C4">
        <w:t xml:space="preserve"> with the cation disorder in the 4</w:t>
      </w:r>
      <w:r w:rsidRPr="004477C4">
        <w:rPr>
          <w:i/>
        </w:rPr>
        <w:t>a</w:t>
      </w:r>
      <w:r w:rsidRPr="004477C4">
        <w:t xml:space="preserve"> atomic position (space group </w:t>
      </w:r>
      <w:r w:rsidRPr="004477C4">
        <w:rPr>
          <w:i/>
          <w:iCs/>
        </w:rPr>
        <w:t>F</w:t>
      </w:r>
      <w:r w:rsidRPr="004477C4">
        <w:t>222). In the case of Cu</w:t>
      </w:r>
      <w:r w:rsidRPr="004477C4">
        <w:rPr>
          <w:vertAlign w:val="subscript"/>
        </w:rPr>
        <w:t>2</w:t>
      </w:r>
      <w:r w:rsidRPr="004477C4">
        <w:t>CoSnS</w:t>
      </w:r>
      <w:r w:rsidRPr="004477C4">
        <w:rPr>
          <w:vertAlign w:val="subscript"/>
        </w:rPr>
        <w:t>4</w:t>
      </w:r>
      <w:r w:rsidRPr="004477C4">
        <w:t xml:space="preserve"> and Cu</w:t>
      </w:r>
      <w:r w:rsidRPr="004477C4">
        <w:rPr>
          <w:vertAlign w:val="subscript"/>
        </w:rPr>
        <w:t>2</w:t>
      </w:r>
      <w:r w:rsidRPr="004477C4">
        <w:t>CoGeS</w:t>
      </w:r>
      <w:r w:rsidRPr="004477C4">
        <w:rPr>
          <w:vertAlign w:val="subscript"/>
        </w:rPr>
        <w:t>4</w:t>
      </w:r>
      <w:r w:rsidRPr="004477C4">
        <w:t>, the disorder was not used, neither in the case of the Rietveld refinement nor in the case of Debye-Callaway, confirming the effectiveness of the proposed approach.</w:t>
      </w:r>
    </w:p>
    <w:p w14:paraId="7751D3C0" w14:textId="67BE6B2D" w:rsidR="00574CC6" w:rsidRDefault="00574CC6" w:rsidP="004477C4">
      <w:pPr>
        <w:pStyle w:val="Heading4"/>
        <w:spacing w:before="240" w:after="0"/>
      </w:pPr>
      <w:r>
        <w:t>[1] T. Parashchuk</w:t>
      </w:r>
      <w:r>
        <w:t>,</w:t>
      </w:r>
      <w:r>
        <w:t xml:space="preserve"> </w:t>
      </w:r>
      <w:r w:rsidRPr="00574CC6">
        <w:rPr>
          <w:i/>
          <w:iCs/>
        </w:rPr>
        <w:t>The Journal of Physical Chemistry C</w:t>
      </w:r>
      <w:r>
        <w:t>, 129, 6 (2025) 3272.</w:t>
      </w:r>
    </w:p>
    <w:p w14:paraId="11E9BEDF" w14:textId="2080E815" w:rsidR="00574CC6" w:rsidRDefault="00574CC6" w:rsidP="004477C4">
      <w:pPr>
        <w:pStyle w:val="Heading4"/>
        <w:spacing w:after="0"/>
      </w:pPr>
      <w:r>
        <w:t xml:space="preserve">[2] T. Parashchuk*, O. Cherniushok, O. Smitiukh, O. Marchuk, K.T. Wojciechowski, </w:t>
      </w:r>
      <w:r w:rsidRPr="00574CC6">
        <w:rPr>
          <w:i/>
          <w:iCs/>
        </w:rPr>
        <w:t>Chemistry of Materials</w:t>
      </w:r>
      <w:r>
        <w:t>, 35(12) (2023) 4772.</w:t>
      </w:r>
    </w:p>
    <w:p w14:paraId="2C02D4AF" w14:textId="14155850" w:rsidR="00615C5F" w:rsidRDefault="00574CC6" w:rsidP="004477C4">
      <w:pPr>
        <w:pStyle w:val="Acknowledgement"/>
        <w:spacing w:before="240"/>
      </w:pPr>
      <w:r w:rsidRPr="00574CC6">
        <w:rPr>
          <w:lang w:eastAsia="cs-CZ"/>
        </w:rPr>
        <w:t>This work was funded by the National Science Center (Poland) under the research project “OPUS-26” UMO-2023/51/B/ST11/00329</w:t>
      </w:r>
      <w:r w:rsidR="00000000">
        <w:rPr>
          <w:lang w:eastAsia="cs-CZ"/>
        </w:rPr>
        <w:t>.</w:t>
      </w:r>
    </w:p>
    <w:sectPr w:rsidR="00615C5F">
      <w:headerReference w:type="default" r:id="rId10"/>
      <w:footerReference w:type="default" r:id="rId11"/>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D7508" w14:textId="77777777" w:rsidR="001D1C2F" w:rsidRDefault="001D1C2F">
      <w:pPr>
        <w:spacing w:after="0"/>
      </w:pPr>
      <w:r>
        <w:separator/>
      </w:r>
    </w:p>
  </w:endnote>
  <w:endnote w:type="continuationSeparator" w:id="0">
    <w:p w14:paraId="69FF6BCF" w14:textId="77777777" w:rsidR="001D1C2F" w:rsidRDefault="001D1C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E27FE" w14:textId="77777777" w:rsidR="00615C5F" w:rsidRDefault="00000000">
    <w:pPr>
      <w:pStyle w:val="Footer"/>
    </w:pPr>
    <w:r>
      <w:t>Acta Cryst. (2025). A81, e1</w:t>
    </w:r>
  </w:p>
  <w:p w14:paraId="24B12287" w14:textId="77777777" w:rsidR="00615C5F" w:rsidRDefault="00615C5F">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42D00" w14:textId="77777777" w:rsidR="001D1C2F" w:rsidRDefault="001D1C2F">
      <w:pPr>
        <w:spacing w:after="0"/>
      </w:pPr>
      <w:r>
        <w:separator/>
      </w:r>
    </w:p>
  </w:footnote>
  <w:footnote w:type="continuationSeparator" w:id="0">
    <w:p w14:paraId="7A881703" w14:textId="77777777" w:rsidR="001D1C2F" w:rsidRDefault="001D1C2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88972" w14:textId="77777777" w:rsidR="00615C5F" w:rsidRDefault="00000000">
    <w:pPr>
      <w:tabs>
        <w:tab w:val="center" w:pos="4703"/>
        <w:tab w:val="right" w:pos="9406"/>
      </w:tabs>
    </w:pPr>
    <w:r>
      <w:rPr>
        <w:b/>
        <w:bCs/>
      </w:rPr>
      <w:t>MS</w:t>
    </w:r>
    <w:r>
      <w:tab/>
    </w:r>
    <w:r>
      <w:rPr>
        <w:b/>
        <w:bCs/>
      </w:rPr>
      <w:t>Microsymposium</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C5F"/>
    <w:rsid w:val="001D1C2F"/>
    <w:rsid w:val="004477C4"/>
    <w:rsid w:val="00574CC6"/>
    <w:rsid w:val="00615C5F"/>
    <w:rsid w:val="00BC1383"/>
    <w:rsid w:val="00DD6BBC"/>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BCD6C"/>
  <w15:docId w15:val="{EE9CCF8D-526A-4C8B-94FC-05DC3B455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pacing w:after="120"/>
      <w:jc w:val="both"/>
    </w:pPr>
    <w:rPr>
      <w:lang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Materials Structure</vt:lpstr>
    </vt:vector>
  </TitlesOfParts>
  <Company>MFF UK</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Taras Parashchuk</cp:lastModifiedBy>
  <cp:revision>2</cp:revision>
  <dcterms:created xsi:type="dcterms:W3CDTF">2025-05-16T08:48:00Z</dcterms:created>
  <dcterms:modified xsi:type="dcterms:W3CDTF">2025-05-16T08:48:00Z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