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CD92" w14:textId="5DAFCD2B" w:rsidR="0024220C" w:rsidRDefault="00A17590">
      <w:pPr>
        <w:pStyle w:val="Heading1"/>
      </w:pPr>
      <w:r w:rsidRPr="00A17590">
        <w:t xml:space="preserve">Designing PROTACs Against Enteroviral 2A Protease via </w:t>
      </w:r>
      <w:proofErr w:type="spellStart"/>
      <w:r w:rsidRPr="00A17590">
        <w:t>Cereblon</w:t>
      </w:r>
      <w:proofErr w:type="spellEnd"/>
      <w:r w:rsidRPr="00A17590">
        <w:t xml:space="preserve"> E3 Ligase Recruitment</w:t>
      </w:r>
      <w:r w:rsidR="00000000">
        <w:t xml:space="preserve"> </w:t>
      </w:r>
    </w:p>
    <w:p w14:paraId="76EDE3EA" w14:textId="4E27C7B2" w:rsidR="00714771" w:rsidRDefault="00714771">
      <w:pPr>
        <w:pStyle w:val="Heading3"/>
        <w:rPr>
          <w:rFonts w:ascii="Arial" w:hAnsi="Arial" w:cs="Arial"/>
          <w:b/>
          <w:i w:val="0"/>
          <w:iCs/>
          <w:szCs w:val="28"/>
          <w:lang w:eastAsia="de-DE"/>
        </w:rPr>
      </w:pPr>
      <w:r w:rsidRPr="00714771">
        <w:rPr>
          <w:rFonts w:ascii="Arial" w:hAnsi="Arial" w:cs="Arial"/>
          <w:b/>
          <w:i w:val="0"/>
          <w:iCs/>
          <w:szCs w:val="28"/>
          <w:lang w:eastAsia="de-DE"/>
        </w:rPr>
        <w:t>B. Kaščáková</w:t>
      </w:r>
      <w:r w:rsidRPr="00714771">
        <w:rPr>
          <w:rFonts w:ascii="Arial" w:hAnsi="Arial" w:cs="Arial"/>
          <w:b/>
          <w:i w:val="0"/>
          <w:iCs/>
          <w:szCs w:val="28"/>
          <w:vertAlign w:val="superscript"/>
          <w:lang w:eastAsia="de-DE"/>
        </w:rPr>
        <w:t>1</w:t>
      </w:r>
      <w:r w:rsidRPr="00714771">
        <w:rPr>
          <w:rFonts w:ascii="Arial" w:hAnsi="Arial" w:cs="Arial"/>
          <w:b/>
          <w:i w:val="0"/>
          <w:iCs/>
          <w:szCs w:val="28"/>
          <w:lang w:eastAsia="de-DE"/>
        </w:rPr>
        <w:t>,</w:t>
      </w:r>
      <w:r>
        <w:rPr>
          <w:rFonts w:ascii="Arial" w:hAnsi="Arial" w:cs="Arial"/>
          <w:b/>
          <w:i w:val="0"/>
          <w:iCs/>
          <w:szCs w:val="28"/>
          <w:lang w:eastAsia="de-DE"/>
        </w:rPr>
        <w:t xml:space="preserve"> </w:t>
      </w:r>
      <w:r w:rsidRPr="00714771">
        <w:rPr>
          <w:rFonts w:ascii="Arial" w:hAnsi="Arial" w:cs="Arial"/>
          <w:b/>
          <w:i w:val="0"/>
          <w:iCs/>
          <w:szCs w:val="28"/>
          <w:lang w:eastAsia="de-DE"/>
        </w:rPr>
        <w:t>H. El Kilani</w:t>
      </w:r>
      <w:r w:rsidRPr="00714771">
        <w:rPr>
          <w:rFonts w:ascii="Arial" w:hAnsi="Arial" w:cs="Arial"/>
          <w:b/>
          <w:i w:val="0"/>
          <w:iCs/>
          <w:szCs w:val="28"/>
          <w:vertAlign w:val="superscript"/>
          <w:lang w:eastAsia="de-DE"/>
        </w:rPr>
        <w:t>2</w:t>
      </w:r>
      <w:r w:rsidRPr="00714771">
        <w:rPr>
          <w:rFonts w:ascii="Arial" w:hAnsi="Arial" w:cs="Arial"/>
          <w:b/>
          <w:i w:val="0"/>
          <w:iCs/>
          <w:szCs w:val="28"/>
          <w:lang w:eastAsia="de-DE"/>
        </w:rPr>
        <w:t>,</w:t>
      </w:r>
      <w:r w:rsidR="00495E83">
        <w:rPr>
          <w:rFonts w:ascii="Arial" w:hAnsi="Arial" w:cs="Arial"/>
          <w:b/>
          <w:i w:val="0"/>
          <w:iCs/>
          <w:szCs w:val="28"/>
          <w:lang w:eastAsia="de-DE"/>
        </w:rPr>
        <w:t xml:space="preserve"> H. Durmaz</w:t>
      </w:r>
      <w:r w:rsidR="00495E83" w:rsidRPr="00495E83">
        <w:rPr>
          <w:rFonts w:ascii="Arial" w:hAnsi="Arial" w:cs="Arial"/>
          <w:b/>
          <w:i w:val="0"/>
          <w:iCs/>
          <w:szCs w:val="28"/>
          <w:vertAlign w:val="superscript"/>
          <w:lang w:eastAsia="de-DE"/>
        </w:rPr>
        <w:t>3</w:t>
      </w:r>
      <w:r w:rsidR="00495E83">
        <w:rPr>
          <w:rFonts w:ascii="Arial" w:hAnsi="Arial" w:cs="Arial"/>
          <w:b/>
          <w:i w:val="0"/>
          <w:iCs/>
          <w:szCs w:val="28"/>
          <w:lang w:eastAsia="de-DE"/>
        </w:rPr>
        <w:t xml:space="preserve">, </w:t>
      </w:r>
      <w:r w:rsidR="00495E83">
        <w:rPr>
          <w:rFonts w:ascii="Arial" w:hAnsi="Arial" w:cs="Arial"/>
          <w:b/>
          <w:i w:val="0"/>
          <w:iCs/>
          <w:szCs w:val="28"/>
          <w:lang w:eastAsia="de-DE"/>
        </w:rPr>
        <w:t>R</w:t>
      </w:r>
      <w:r w:rsidR="00495E83">
        <w:rPr>
          <w:rFonts w:ascii="Arial" w:hAnsi="Arial" w:cs="Arial"/>
          <w:b/>
          <w:i w:val="0"/>
          <w:iCs/>
          <w:szCs w:val="28"/>
          <w:lang w:eastAsia="de-DE"/>
        </w:rPr>
        <w:t>.</w:t>
      </w:r>
      <w:r w:rsidR="00495E83">
        <w:rPr>
          <w:rFonts w:ascii="Arial" w:hAnsi="Arial" w:cs="Arial"/>
          <w:b/>
          <w:i w:val="0"/>
          <w:iCs/>
          <w:szCs w:val="28"/>
          <w:lang w:eastAsia="de-DE"/>
        </w:rPr>
        <w:t xml:space="preserve"> Kumar Akula</w:t>
      </w:r>
      <w:r w:rsidR="00495E83" w:rsidRPr="00495E83">
        <w:rPr>
          <w:rFonts w:ascii="Arial" w:hAnsi="Arial" w:cs="Arial"/>
          <w:b/>
          <w:i w:val="0"/>
          <w:iCs/>
          <w:szCs w:val="28"/>
          <w:vertAlign w:val="superscript"/>
          <w:lang w:eastAsia="de-DE"/>
        </w:rPr>
        <w:t>3</w:t>
      </w:r>
      <w:r w:rsidR="00495E83">
        <w:rPr>
          <w:rFonts w:ascii="Arial" w:hAnsi="Arial" w:cs="Arial"/>
          <w:b/>
          <w:i w:val="0"/>
          <w:iCs/>
          <w:szCs w:val="28"/>
          <w:lang w:eastAsia="de-DE"/>
        </w:rPr>
        <w:t>,</w:t>
      </w:r>
      <w:r w:rsidR="00495E83" w:rsidRPr="00714771">
        <w:rPr>
          <w:rFonts w:ascii="Arial" w:hAnsi="Arial" w:cs="Arial"/>
          <w:b/>
          <w:i w:val="0"/>
          <w:iCs/>
          <w:szCs w:val="28"/>
          <w:lang w:eastAsia="de-DE"/>
        </w:rPr>
        <w:t xml:space="preserve"> </w:t>
      </w:r>
      <w:r w:rsidR="00495E83">
        <w:rPr>
          <w:rFonts w:ascii="Arial" w:hAnsi="Arial" w:cs="Arial"/>
          <w:b/>
          <w:i w:val="0"/>
          <w:iCs/>
          <w:szCs w:val="28"/>
          <w:lang w:eastAsia="de-DE"/>
        </w:rPr>
        <w:t>K. Rox</w:t>
      </w:r>
      <w:r w:rsidR="00495E83" w:rsidRPr="00495E83">
        <w:rPr>
          <w:rFonts w:ascii="Arial" w:hAnsi="Arial" w:cs="Arial"/>
          <w:b/>
          <w:i w:val="0"/>
          <w:iCs/>
          <w:szCs w:val="28"/>
          <w:vertAlign w:val="superscript"/>
          <w:lang w:eastAsia="de-DE"/>
        </w:rPr>
        <w:t>3</w:t>
      </w:r>
      <w:r w:rsidR="00495E83">
        <w:rPr>
          <w:rFonts w:ascii="Arial" w:hAnsi="Arial" w:cs="Arial"/>
          <w:b/>
          <w:i w:val="0"/>
          <w:iCs/>
          <w:szCs w:val="28"/>
          <w:lang w:eastAsia="de-DE"/>
        </w:rPr>
        <w:t>,</w:t>
      </w:r>
      <w:r w:rsidRPr="00714771">
        <w:rPr>
          <w:rFonts w:ascii="Arial" w:hAnsi="Arial" w:cs="Arial"/>
          <w:b/>
          <w:i w:val="0"/>
          <w:iCs/>
          <w:szCs w:val="28"/>
          <w:lang w:eastAsia="de-DE"/>
        </w:rPr>
        <w:t xml:space="preserve"> R. Hilgenfeld</w:t>
      </w:r>
      <w:r w:rsidRPr="00714771">
        <w:rPr>
          <w:rFonts w:ascii="Arial" w:hAnsi="Arial" w:cs="Arial"/>
          <w:b/>
          <w:i w:val="0"/>
          <w:iCs/>
          <w:szCs w:val="28"/>
          <w:vertAlign w:val="superscript"/>
          <w:lang w:eastAsia="de-DE"/>
        </w:rPr>
        <w:t>2</w:t>
      </w:r>
      <w:r w:rsidRPr="00714771">
        <w:rPr>
          <w:rFonts w:ascii="Arial" w:hAnsi="Arial" w:cs="Arial"/>
          <w:b/>
          <w:i w:val="0"/>
          <w:iCs/>
          <w:szCs w:val="28"/>
          <w:lang w:eastAsia="de-DE"/>
        </w:rPr>
        <w:t xml:space="preserve"> and I. </w:t>
      </w:r>
      <w:proofErr w:type="spellStart"/>
      <w:r w:rsidRPr="00714771">
        <w:rPr>
          <w:rFonts w:ascii="Arial" w:hAnsi="Arial" w:cs="Arial"/>
          <w:b/>
          <w:i w:val="0"/>
          <w:iCs/>
          <w:szCs w:val="28"/>
          <w:lang w:eastAsia="de-DE"/>
        </w:rPr>
        <w:t>Kutá</w:t>
      </w:r>
      <w:proofErr w:type="spellEnd"/>
      <w:r w:rsidRPr="00714771">
        <w:rPr>
          <w:rFonts w:ascii="Arial" w:hAnsi="Arial" w:cs="Arial"/>
          <w:b/>
          <w:i w:val="0"/>
          <w:iCs/>
          <w:szCs w:val="28"/>
          <w:lang w:eastAsia="de-DE"/>
        </w:rPr>
        <w:t xml:space="preserve"> Smatanová</w:t>
      </w:r>
      <w:r w:rsidR="00495E83">
        <w:rPr>
          <w:rFonts w:ascii="Arial" w:hAnsi="Arial" w:cs="Arial"/>
          <w:b/>
          <w:i w:val="0"/>
          <w:iCs/>
          <w:szCs w:val="28"/>
          <w:vertAlign w:val="superscript"/>
          <w:lang w:eastAsia="de-DE"/>
        </w:rPr>
        <w:t>1</w:t>
      </w:r>
    </w:p>
    <w:p w14:paraId="4F4763B2" w14:textId="2110BFC8" w:rsidR="00714771" w:rsidRDefault="00000000" w:rsidP="00714771">
      <w:pPr>
        <w:pStyle w:val="Heading3"/>
      </w:pPr>
      <w:r>
        <w:rPr>
          <w:vertAlign w:val="superscript"/>
        </w:rPr>
        <w:t>1</w:t>
      </w:r>
      <w:r w:rsidR="00714771">
        <w:t xml:space="preserve">Department of Chemistry, University of South Bohemia, </w:t>
      </w:r>
      <w:proofErr w:type="spellStart"/>
      <w:r w:rsidR="00714771">
        <w:t>Branišovská</w:t>
      </w:r>
      <w:proofErr w:type="spellEnd"/>
      <w:r w:rsidR="00714771">
        <w:t xml:space="preserve"> 1645/31a, 370 05 Ceske Budejovice, Czech Republi</w:t>
      </w:r>
      <w:r w:rsidR="00714771">
        <w:t>c</w:t>
      </w:r>
    </w:p>
    <w:p w14:paraId="24D8AACA" w14:textId="77777777" w:rsidR="00714771" w:rsidRDefault="00714771" w:rsidP="00714771">
      <w:pPr>
        <w:pStyle w:val="Heading3"/>
      </w:pPr>
      <w:r w:rsidRPr="00714771">
        <w:rPr>
          <w:vertAlign w:val="superscript"/>
        </w:rPr>
        <w:t xml:space="preserve"> 2</w:t>
      </w:r>
      <w:r>
        <w:t xml:space="preserve"> Institute for Molecular Medicine, University of Lübeck, </w:t>
      </w:r>
      <w:proofErr w:type="spellStart"/>
      <w:r>
        <w:t>Ratzeburger</w:t>
      </w:r>
      <w:proofErr w:type="spellEnd"/>
      <w:r>
        <w:t xml:space="preserve"> Allee 160, 23538 Lübeck, Germany</w:t>
      </w:r>
    </w:p>
    <w:p w14:paraId="79D1CD06" w14:textId="43B2BE5F" w:rsidR="00495E83" w:rsidRPr="00495E83" w:rsidRDefault="00495E83" w:rsidP="00495E83">
      <w:pPr>
        <w:jc w:val="center"/>
        <w:rPr>
          <w:i/>
          <w:iCs/>
          <w:lang w:eastAsia="cs-CZ"/>
        </w:rPr>
      </w:pPr>
      <w:r w:rsidRPr="00495E83">
        <w:rPr>
          <w:i/>
          <w:iCs/>
          <w:vertAlign w:val="superscript"/>
          <w:lang w:eastAsia="cs-CZ"/>
        </w:rPr>
        <w:t>3</w:t>
      </w:r>
      <w:r w:rsidRPr="00495E83">
        <w:rPr>
          <w:i/>
          <w:iCs/>
          <w:lang w:eastAsia="cs-CZ"/>
        </w:rPr>
        <w:t xml:space="preserve"> Department of Chemical Biology, Helmholtz Centre for Infection Research, </w:t>
      </w:r>
      <w:proofErr w:type="spellStart"/>
      <w:r w:rsidRPr="00495E83">
        <w:rPr>
          <w:i/>
          <w:iCs/>
          <w:lang w:eastAsia="cs-CZ"/>
        </w:rPr>
        <w:t>Inhoffenstr</w:t>
      </w:r>
      <w:proofErr w:type="spellEnd"/>
      <w:r w:rsidRPr="00495E83">
        <w:rPr>
          <w:i/>
          <w:iCs/>
          <w:lang w:eastAsia="cs-CZ"/>
        </w:rPr>
        <w:t>. 7, Braunschweig 38124, Germany</w:t>
      </w:r>
    </w:p>
    <w:p w14:paraId="37FAAEEA" w14:textId="4944D8A0" w:rsidR="0024220C" w:rsidRDefault="00714771" w:rsidP="00714771">
      <w:pPr>
        <w:pStyle w:val="Heading3"/>
        <w:rPr>
          <w:sz w:val="18"/>
          <w:szCs w:val="18"/>
        </w:rPr>
      </w:pPr>
      <w:r>
        <w:t>karafb00</w:t>
      </w:r>
      <w:r w:rsidR="00000000">
        <w:t>@</w:t>
      </w:r>
      <w:r>
        <w:t>jcu.cz</w:t>
      </w:r>
      <w:r w:rsidR="00000000">
        <w:rPr>
          <w:lang w:eastAsia="de-DE"/>
        </w:rPr>
        <w:br/>
      </w:r>
    </w:p>
    <w:p w14:paraId="3AA40914" w14:textId="36C7FE22" w:rsidR="00714771" w:rsidRDefault="00714771" w:rsidP="00714771">
      <w:pPr>
        <w:rPr>
          <w:noProof/>
        </w:rPr>
      </w:pPr>
      <w:r>
        <w:rPr>
          <w:noProof/>
        </w:rPr>
        <w:t xml:space="preserve">Enteroviruses </w:t>
      </w:r>
      <w:r>
        <w:rPr>
          <w:noProof/>
        </w:rPr>
        <w:t xml:space="preserve">(EV) </w:t>
      </w:r>
      <w:r>
        <w:rPr>
          <w:noProof/>
        </w:rPr>
        <w:t>such as EV-A71</w:t>
      </w:r>
      <w:r>
        <w:rPr>
          <w:noProof/>
        </w:rPr>
        <w:t xml:space="preserve"> </w:t>
      </w:r>
      <w:r>
        <w:rPr>
          <w:noProof/>
        </w:rPr>
        <w:t>and EV-D68 pose growing public health threats, particularly among children</w:t>
      </w:r>
      <w:r w:rsidR="00FC6796">
        <w:rPr>
          <w:noProof/>
        </w:rPr>
        <w:t xml:space="preserve"> </w:t>
      </w:r>
      <w:r w:rsidR="00FC6796" w:rsidRPr="00FC6796">
        <w:rPr>
          <w:noProof/>
        </w:rPr>
        <w:t>[1</w:t>
      </w:r>
      <w:r w:rsidR="00FC6796">
        <w:rPr>
          <w:noProof/>
        </w:rPr>
        <w:t>-</w:t>
      </w:r>
      <w:r w:rsidR="00E67FBD">
        <w:rPr>
          <w:noProof/>
        </w:rPr>
        <w:t>2</w:t>
      </w:r>
      <w:r w:rsidR="00FC6796" w:rsidRPr="00FC6796">
        <w:rPr>
          <w:noProof/>
        </w:rPr>
        <w:t>]</w:t>
      </w:r>
      <w:r w:rsidR="00FC6796">
        <w:rPr>
          <w:noProof/>
        </w:rPr>
        <w:t xml:space="preserve"> </w:t>
      </w:r>
      <w:r>
        <w:rPr>
          <w:noProof/>
        </w:rPr>
        <w:t>, due to their association with severe neurological and respiratory illnesses, including hand, foot, and mouth disease (HFMD)</w:t>
      </w:r>
      <w:r w:rsidR="00FC6796">
        <w:rPr>
          <w:noProof/>
        </w:rPr>
        <w:t xml:space="preserve"> </w:t>
      </w:r>
      <w:r w:rsidR="00FC6796">
        <w:t>[</w:t>
      </w:r>
      <w:r w:rsidR="00885FE1">
        <w:t>3-4</w:t>
      </w:r>
      <w:r w:rsidR="00FC6796">
        <w:t>]</w:t>
      </w:r>
      <w:r>
        <w:rPr>
          <w:noProof/>
        </w:rPr>
        <w:t xml:space="preserve"> and acute flaccid myelitis (AFM)</w:t>
      </w:r>
      <w:r w:rsidR="00FC6796">
        <w:rPr>
          <w:noProof/>
        </w:rPr>
        <w:t xml:space="preserve"> </w:t>
      </w:r>
      <w:r w:rsidR="00FC6796">
        <w:t>[</w:t>
      </w:r>
      <w:r w:rsidR="00885FE1">
        <w:t>5-6</w:t>
      </w:r>
      <w:r w:rsidR="00FC6796">
        <w:t>]</w:t>
      </w:r>
      <w:r>
        <w:rPr>
          <w:noProof/>
        </w:rPr>
        <w:t>. Despite their clinical significance, no targeted antiviral therapies currently exist. This project aims to address this gap by applying targeted protein degradation strategies to eliminate 2A protease (2A</w:t>
      </w:r>
      <w:r w:rsidRPr="00714771">
        <w:rPr>
          <w:noProof/>
          <w:vertAlign w:val="superscript"/>
        </w:rPr>
        <w:t>pro</w:t>
      </w:r>
      <w:r>
        <w:rPr>
          <w:noProof/>
        </w:rPr>
        <w:t>), a viral enzyme essential for replication and immune evasion. EV</w:t>
      </w:r>
      <w:r>
        <w:rPr>
          <w:noProof/>
        </w:rPr>
        <w:t xml:space="preserve"> </w:t>
      </w:r>
      <w:r>
        <w:rPr>
          <w:noProof/>
        </w:rPr>
        <w:t>2A</w:t>
      </w:r>
      <w:r w:rsidRPr="00714771">
        <w:rPr>
          <w:noProof/>
          <w:vertAlign w:val="superscript"/>
        </w:rPr>
        <w:t>pro</w:t>
      </w:r>
      <w:r>
        <w:rPr>
          <w:noProof/>
        </w:rPr>
        <w:t xml:space="preserve"> mediates viral polyprotein processing, suppresses host translation by cleaving eIF4G, and disrupts type I interferon signaling via degradation of IFNAR1 and cleavage of MAVS and MDA5</w:t>
      </w:r>
      <w:r w:rsidR="00FC6796">
        <w:rPr>
          <w:noProof/>
        </w:rPr>
        <w:t xml:space="preserve"> </w:t>
      </w:r>
      <w:r w:rsidR="00FC6796">
        <w:t>[</w:t>
      </w:r>
      <w:r w:rsidR="00885FE1">
        <w:t>7-8</w:t>
      </w:r>
      <w:r w:rsidR="00FC6796">
        <w:t>]</w:t>
      </w:r>
      <w:r>
        <w:rPr>
          <w:noProof/>
        </w:rPr>
        <w:t>. Its essential role in viral pathogenesis makes it a high-priority antiviral target.</w:t>
      </w:r>
    </w:p>
    <w:p w14:paraId="23FD8010" w14:textId="17ECBDA9" w:rsidR="00714771" w:rsidRDefault="00714771" w:rsidP="00714771">
      <w:pPr>
        <w:rPr>
          <w:noProof/>
        </w:rPr>
      </w:pPr>
      <w:r>
        <w:rPr>
          <w:noProof/>
        </w:rPr>
        <w:t>To overcome the limitations of conventional inhibitors, we propose the development of proteolysis-targeting chimeras (PROTACs) that direct 2A</w:t>
      </w:r>
      <w:r w:rsidRPr="00714771">
        <w:rPr>
          <w:noProof/>
          <w:vertAlign w:val="superscript"/>
        </w:rPr>
        <w:t>pro</w:t>
      </w:r>
      <w:r>
        <w:rPr>
          <w:noProof/>
        </w:rPr>
        <w:t xml:space="preserve"> </w:t>
      </w:r>
      <w:r>
        <w:rPr>
          <w:noProof/>
        </w:rPr>
        <w:t>to cereblon (CRBN)-mediated ubiquitination and proteasomal degradation</w:t>
      </w:r>
      <w:r w:rsidR="00FC6796">
        <w:rPr>
          <w:noProof/>
        </w:rPr>
        <w:t xml:space="preserve"> </w:t>
      </w:r>
      <w:r w:rsidR="00FC6796">
        <w:t>[</w:t>
      </w:r>
      <w:r w:rsidR="00885FE1">
        <w:t>9-10</w:t>
      </w:r>
      <w:r w:rsidR="00FC6796">
        <w:t>]</w:t>
      </w:r>
      <w:r>
        <w:rPr>
          <w:noProof/>
        </w:rPr>
        <w:t>. PROTACs offer distinct advantages, including catalytic activity, degradation of the entire protein, reduced susceptibility to resistance, and the ability to target structurally challenging proteins</w:t>
      </w:r>
      <w:r w:rsidR="00FC6796">
        <w:rPr>
          <w:noProof/>
        </w:rPr>
        <w:t xml:space="preserve"> </w:t>
      </w:r>
      <w:r w:rsidR="00FC6796">
        <w:t>[</w:t>
      </w:r>
      <w:r w:rsidR="00D77475">
        <w:t>9</w:t>
      </w:r>
      <w:r w:rsidR="00FC6796">
        <w:t xml:space="preserve">, </w:t>
      </w:r>
      <w:r w:rsidR="00D77475">
        <w:t>11</w:t>
      </w:r>
      <w:r w:rsidR="00FC6796">
        <w:t>]</w:t>
      </w:r>
      <w:r>
        <w:rPr>
          <w:noProof/>
        </w:rPr>
        <w:t>. Using integrative structural biology approaches such as X-ray crystallography and crosslinking mass spectrometry, we will rationally design and optimize CRBN-recruiting PROTACs to achieve selective and sustained 2A</w:t>
      </w:r>
      <w:r>
        <w:rPr>
          <w:noProof/>
          <w:vertAlign w:val="superscript"/>
        </w:rPr>
        <w:t>pro</w:t>
      </w:r>
      <w:r>
        <w:rPr>
          <w:noProof/>
        </w:rPr>
        <w:t xml:space="preserve"> </w:t>
      </w:r>
      <w:r>
        <w:rPr>
          <w:noProof/>
        </w:rPr>
        <w:t>degradation.</w:t>
      </w:r>
    </w:p>
    <w:p w14:paraId="7B5FF575" w14:textId="3EC4D6E3" w:rsidR="00714771" w:rsidRDefault="00714771" w:rsidP="00714771">
      <w:pPr>
        <w:rPr>
          <w:noProof/>
        </w:rPr>
      </w:pPr>
      <w:r w:rsidRPr="00714771">
        <w:rPr>
          <w:noProof/>
        </w:rPr>
        <w:t xml:space="preserve">To enable biochemical and structural characterization of </w:t>
      </w:r>
      <w:r>
        <w:rPr>
          <w:noProof/>
        </w:rPr>
        <w:t>2A</w:t>
      </w:r>
      <w:r>
        <w:rPr>
          <w:noProof/>
          <w:vertAlign w:val="superscript"/>
        </w:rPr>
        <w:t>pro</w:t>
      </w:r>
      <w:r w:rsidRPr="00714771">
        <w:rPr>
          <w:noProof/>
        </w:rPr>
        <w:t xml:space="preserve">, we established an optimized recombinant expression system in </w:t>
      </w:r>
      <w:r w:rsidRPr="00714771">
        <w:rPr>
          <w:i/>
          <w:iCs/>
          <w:noProof/>
        </w:rPr>
        <w:t>E. coli</w:t>
      </w:r>
      <w:r w:rsidRPr="00714771">
        <w:rPr>
          <w:noProof/>
        </w:rPr>
        <w:t>, using solubility-enhancing fusion tags and buffer screening to improve protein yield and purity. Affinity and size-exclusion chromatography workflows were tailored to obtain milligram quantities of active, monodisperse protein suitable for downstream structural studies and PROTAC binding assays.</w:t>
      </w:r>
    </w:p>
    <w:p w14:paraId="01A6A4E9" w14:textId="78E7FEDB" w:rsidR="00A17590" w:rsidRDefault="00714771" w:rsidP="00714771">
      <w:r>
        <w:rPr>
          <w:noProof/>
        </w:rPr>
        <w:pict w14:anchorId="6FC399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9" o:spid="_x0000_s1028" type="#_x0000_t75" style="position:absolute;left:0;text-align:left;margin-left:112.55pt;margin-top:392.95pt;width:295.2pt;height:214.65pt;z-index:2;visibility:visible;mso-wrap-style:square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">
            <v:imagedata r:id="rId7" o:title="" croptop="10492f" cropbottom="8483f" cropleft="9659f" cropright="10579f"/>
            <w10:wrap type="topAndBottom" anchorx="margin" anchory="margin"/>
          </v:shape>
        </w:pict>
      </w:r>
      <w:r>
        <w:rPr>
          <w:noProof/>
        </w:rPr>
        <w:t xml:space="preserve">This research builds on the PANVIPREP consortium’s vision for broad-spectrum antiviral development and represents a transformative shift in antiviral strategy—from enzymatic inhibition to targeted degradation. By establishing a scalable platform for degrader-based therapeutics, this project aims to deliver novel and effective antiviral candidates against enteroviruses and potentially other RNA viruses of epidemic and pandemic </w:t>
      </w:r>
      <w:r>
        <w:rPr>
          <w:noProof/>
        </w:rPr>
        <w:t>concern.</w:t>
      </w:r>
    </w:p>
    <w:p w14:paraId="360C6C87" w14:textId="772908B3" w:rsidR="0024220C" w:rsidRDefault="00000000" w:rsidP="00714771">
      <w:pPr>
        <w:jc w:val="center"/>
      </w:pPr>
      <w:r>
        <w:pict w14:anchorId="0B3D6DB5">
          <v:shape id="_x0000_tole_rId2" o:spid="_x0000_s1027" type="#_x0000_t75" style="position:absolute;left:0;text-align:left;margin-left:0;margin-top:0;width:50pt;height:50pt;z-index:1;visibility:hidden">
            <o:lock v:ext="edit" selection="t"/>
          </v:shape>
        </w:pict>
      </w:r>
      <w:r>
        <w:rPr>
          <w:b/>
        </w:rPr>
        <w:t>Figure 1</w:t>
      </w:r>
      <w:r>
        <w:t xml:space="preserve">. </w:t>
      </w:r>
      <w:r w:rsidR="00A17590" w:rsidRPr="00A17590">
        <w:t xml:space="preserve">Graphical representation of an optimized PROTAC design. The protein structures are illustrated as cartoons, with </w:t>
      </w:r>
      <w:proofErr w:type="spellStart"/>
      <w:r w:rsidR="00A17590" w:rsidRPr="00A17590">
        <w:t>CRBNmidi</w:t>
      </w:r>
      <w:proofErr w:type="spellEnd"/>
      <w:r w:rsidR="00A17590" w:rsidRPr="00A17590">
        <w:t xml:space="preserve"> in cyan and 2Apro in purple, overlaid with a transparent surface. The docked PROTAC molecule, shown in salmon-</w:t>
      </w:r>
      <w:proofErr w:type="spellStart"/>
      <w:r w:rsidR="00A17590" w:rsidRPr="00A17590">
        <w:t>colored</w:t>
      </w:r>
      <w:proofErr w:type="spellEnd"/>
      <w:r w:rsidR="00A17590" w:rsidRPr="00A17590">
        <w:t xml:space="preserve"> sticks, demonstrates its bifunctional nature. The lenalidomide portion is responsible for binding to CRBN, while the telaprevir component (PDB 3SV6) targets 2Apro. A short linker connects the two, highlighting the strategic design to bridge both target proteins for degradation.</w:t>
      </w:r>
    </w:p>
    <w:p w14:paraId="6AD3D7C8" w14:textId="26805DAA" w:rsidR="0024220C" w:rsidRDefault="00000000" w:rsidP="00D77475">
      <w:pPr>
        <w:pStyle w:val="Heading4"/>
        <w:spacing w:after="0"/>
      </w:pPr>
      <w:r>
        <w:lastRenderedPageBreak/>
        <w:t xml:space="preserve">[1] </w:t>
      </w:r>
      <w:r w:rsidR="00E67FBD" w:rsidRPr="00E67FBD">
        <w:t xml:space="preserve">Grizer, C. S., </w:t>
      </w:r>
      <w:proofErr w:type="spellStart"/>
      <w:r w:rsidR="00E67FBD" w:rsidRPr="00E67FBD">
        <w:t>Messacar</w:t>
      </w:r>
      <w:proofErr w:type="spellEnd"/>
      <w:r w:rsidR="00E67FBD" w:rsidRPr="00E67FBD">
        <w:t xml:space="preserve">, K., &amp; </w:t>
      </w:r>
      <w:proofErr w:type="spellStart"/>
      <w:r w:rsidR="00E67FBD" w:rsidRPr="00E67FBD">
        <w:t>Mattapallil</w:t>
      </w:r>
      <w:proofErr w:type="spellEnd"/>
      <w:r w:rsidR="00E67FBD" w:rsidRPr="00E67FBD">
        <w:t xml:space="preserve">, J. J. (2024). </w:t>
      </w:r>
      <w:r w:rsidR="00E67FBD" w:rsidRPr="00E67FBD">
        <w:rPr>
          <w:i/>
          <w:iCs/>
        </w:rPr>
        <w:t>Frontiers in virology</w:t>
      </w:r>
      <w:r w:rsidR="00E67FBD" w:rsidRPr="00E67FBD">
        <w:t xml:space="preserve"> (Lausanne, Switzerland), </w:t>
      </w:r>
      <w:r w:rsidR="00E67FBD" w:rsidRPr="00E67FBD">
        <w:rPr>
          <w:b/>
          <w:bCs w:val="0"/>
        </w:rPr>
        <w:t>4</w:t>
      </w:r>
      <w:r w:rsidR="00E67FBD" w:rsidRPr="00E67FBD">
        <w:t>, 1328457. https://doi.org/10.3389/fviro.2024.1328457</w:t>
      </w:r>
    </w:p>
    <w:p w14:paraId="7C52926E" w14:textId="51F52B78" w:rsidR="00E67FBD" w:rsidRDefault="00000000" w:rsidP="00D77475">
      <w:pPr>
        <w:pStyle w:val="Heading4"/>
        <w:spacing w:after="0"/>
      </w:pPr>
      <w:r>
        <w:t xml:space="preserve">[2] </w:t>
      </w:r>
      <w:r w:rsidR="00E67FBD" w:rsidRPr="00E67FBD">
        <w:t xml:space="preserve">Ooi, M. H., Wong, S. C., Lewthwaite, P., Cardosa, M. J., &amp; Solomon, T. (2010). </w:t>
      </w:r>
      <w:r w:rsidR="00E67FBD" w:rsidRPr="00E67FBD">
        <w:rPr>
          <w:i/>
          <w:iCs/>
        </w:rPr>
        <w:t>The Lancet. Neurology</w:t>
      </w:r>
      <w:r w:rsidR="00E67FBD" w:rsidRPr="00E67FBD">
        <w:t xml:space="preserve">, </w:t>
      </w:r>
      <w:r w:rsidR="00E67FBD" w:rsidRPr="00E67FBD">
        <w:rPr>
          <w:b/>
          <w:bCs w:val="0"/>
        </w:rPr>
        <w:t>9</w:t>
      </w:r>
      <w:r w:rsidR="00E67FBD" w:rsidRPr="00E67FBD">
        <w:t>(11), 1097–1105. https://doi.org/10.1016/S1474-4422(10)70209-X</w:t>
      </w:r>
    </w:p>
    <w:p w14:paraId="094CB4D0" w14:textId="4F9454A7" w:rsidR="0024220C" w:rsidRDefault="00000000" w:rsidP="00D77475">
      <w:pPr>
        <w:pStyle w:val="Heading4"/>
        <w:spacing w:after="0"/>
      </w:pPr>
      <w:r>
        <w:t xml:space="preserve">[3] </w:t>
      </w:r>
      <w:r w:rsidR="00E67FBD" w:rsidRPr="00E67FBD">
        <w:t xml:space="preserve">Cordey, S., Petty, T. J., Schibler, M., Martinez, Y., Gerlach, D., van Belle, S., Turin, L., </w:t>
      </w:r>
      <w:proofErr w:type="spellStart"/>
      <w:r w:rsidR="00E67FBD" w:rsidRPr="00E67FBD">
        <w:t>Zdobnov</w:t>
      </w:r>
      <w:proofErr w:type="spellEnd"/>
      <w:r w:rsidR="00E67FBD" w:rsidRPr="00E67FBD">
        <w:t xml:space="preserve">, E., Kaiser, L., &amp; </w:t>
      </w:r>
      <w:proofErr w:type="spellStart"/>
      <w:r w:rsidR="00E67FBD" w:rsidRPr="00E67FBD">
        <w:t>Tapparel</w:t>
      </w:r>
      <w:proofErr w:type="spellEnd"/>
      <w:r w:rsidR="00E67FBD" w:rsidRPr="00E67FBD">
        <w:t xml:space="preserve">, C. (2012). </w:t>
      </w:r>
      <w:proofErr w:type="spellStart"/>
      <w:r w:rsidR="00E67FBD" w:rsidRPr="00E67FBD">
        <w:rPr>
          <w:i/>
          <w:iCs/>
        </w:rPr>
        <w:t>PLoS</w:t>
      </w:r>
      <w:proofErr w:type="spellEnd"/>
      <w:r w:rsidR="00E67FBD" w:rsidRPr="00E67FBD">
        <w:rPr>
          <w:i/>
          <w:iCs/>
        </w:rPr>
        <w:t xml:space="preserve"> pathogens</w:t>
      </w:r>
      <w:r w:rsidR="00E67FBD" w:rsidRPr="00E67FBD">
        <w:t xml:space="preserve">, </w:t>
      </w:r>
      <w:r w:rsidR="00E67FBD" w:rsidRPr="00E67FBD">
        <w:rPr>
          <w:b/>
          <w:bCs w:val="0"/>
        </w:rPr>
        <w:t>8</w:t>
      </w:r>
      <w:r w:rsidR="00E67FBD" w:rsidRPr="00E67FBD">
        <w:t>(7), e1002826. https://doi.org/10.1371/journal.ppat.1002826</w:t>
      </w:r>
    </w:p>
    <w:p w14:paraId="5EC133FA" w14:textId="33196129" w:rsidR="0024220C" w:rsidRDefault="00000000" w:rsidP="00D77475">
      <w:pPr>
        <w:pStyle w:val="Heading4"/>
        <w:spacing w:after="0"/>
      </w:pPr>
      <w:r>
        <w:t xml:space="preserve">[4] </w:t>
      </w:r>
      <w:r w:rsidR="00885FE1" w:rsidRPr="00885FE1">
        <w:t xml:space="preserve">Teoh, H. L., Mohammad, S. S., Britton, P. N., Kandula, T., </w:t>
      </w:r>
      <w:proofErr w:type="spellStart"/>
      <w:r w:rsidR="00885FE1" w:rsidRPr="00885FE1">
        <w:t>Lorentzos</w:t>
      </w:r>
      <w:proofErr w:type="spellEnd"/>
      <w:r w:rsidR="00885FE1" w:rsidRPr="00885FE1">
        <w:t xml:space="preserve">, M. S., Booy, R., Jones, C. A., Rawlinson, W., Ramachandran, V., Rodriguez, M. L., Andrews, P. I., Dale, R. C., Farrar, M. A., &amp; Sampaio, H. (2016). </w:t>
      </w:r>
      <w:r w:rsidR="00885FE1" w:rsidRPr="00885FE1">
        <w:rPr>
          <w:i/>
          <w:iCs/>
        </w:rPr>
        <w:t>JAMA neurology</w:t>
      </w:r>
      <w:r w:rsidR="00885FE1" w:rsidRPr="00885FE1">
        <w:t xml:space="preserve">, </w:t>
      </w:r>
      <w:r w:rsidR="00885FE1" w:rsidRPr="00885FE1">
        <w:rPr>
          <w:b/>
          <w:bCs w:val="0"/>
        </w:rPr>
        <w:t>73</w:t>
      </w:r>
      <w:r w:rsidR="00885FE1" w:rsidRPr="00885FE1">
        <w:t>(3), 300–307. https://doi.org/10.1001/jamaneurol.2015.4388</w:t>
      </w:r>
    </w:p>
    <w:p w14:paraId="592A4C13" w14:textId="6FB13B0E" w:rsidR="00E67FBD" w:rsidRDefault="00E67FBD" w:rsidP="00D77475">
      <w:pPr>
        <w:pStyle w:val="Heading4"/>
        <w:spacing w:after="0"/>
      </w:pPr>
      <w:r>
        <w:t>[</w:t>
      </w:r>
      <w:r>
        <w:t>5</w:t>
      </w:r>
      <w:r>
        <w:t xml:space="preserve">] </w:t>
      </w:r>
      <w:r w:rsidR="00885FE1" w:rsidRPr="00885FE1">
        <w:t xml:space="preserve">Xiang, Z., &amp; Wang, J. (2016). </w:t>
      </w:r>
      <w:r w:rsidR="00885FE1" w:rsidRPr="00885FE1">
        <w:rPr>
          <w:i/>
          <w:iCs/>
        </w:rPr>
        <w:t>Seminars in respiratory and critical care medicine</w:t>
      </w:r>
      <w:r w:rsidR="00885FE1" w:rsidRPr="00885FE1">
        <w:t xml:space="preserve">, </w:t>
      </w:r>
      <w:r w:rsidR="00885FE1" w:rsidRPr="00885FE1">
        <w:rPr>
          <w:b/>
          <w:bCs w:val="0"/>
        </w:rPr>
        <w:t>37</w:t>
      </w:r>
      <w:r w:rsidR="00885FE1" w:rsidRPr="00885FE1">
        <w:t>(4), 578–585. https://doi.org/10.1055/s-0036-1584795</w:t>
      </w:r>
    </w:p>
    <w:p w14:paraId="65BE80F3" w14:textId="7D338E21" w:rsidR="00E67FBD" w:rsidRDefault="00E67FBD" w:rsidP="00D77475">
      <w:pPr>
        <w:pStyle w:val="Heading4"/>
        <w:spacing w:after="0"/>
      </w:pPr>
      <w:r>
        <w:t>[</w:t>
      </w:r>
      <w:r>
        <w:t>6</w:t>
      </w:r>
      <w:r>
        <w:t xml:space="preserve">] </w:t>
      </w:r>
      <w:r w:rsidR="00885FE1" w:rsidRPr="00885FE1">
        <w:t xml:space="preserve">Vogt, M. R., Wright, P. F., Hickey, W. F., De </w:t>
      </w:r>
      <w:proofErr w:type="spellStart"/>
      <w:r w:rsidR="00885FE1" w:rsidRPr="00885FE1">
        <w:t>Buysscher</w:t>
      </w:r>
      <w:proofErr w:type="spellEnd"/>
      <w:r w:rsidR="00885FE1" w:rsidRPr="00885FE1">
        <w:t xml:space="preserve">, T., Boyd, K. L., &amp; Crowe, J. E., Jr (2022). </w:t>
      </w:r>
      <w:r w:rsidR="00885FE1" w:rsidRPr="00885FE1">
        <w:rPr>
          <w:i/>
          <w:iCs/>
        </w:rPr>
        <w:t>The New England journal of medicine</w:t>
      </w:r>
      <w:r w:rsidR="00885FE1" w:rsidRPr="00885FE1">
        <w:t xml:space="preserve">, </w:t>
      </w:r>
      <w:r w:rsidR="00885FE1" w:rsidRPr="00885FE1">
        <w:rPr>
          <w:b/>
          <w:bCs w:val="0"/>
        </w:rPr>
        <w:t>386</w:t>
      </w:r>
      <w:r w:rsidR="00885FE1" w:rsidRPr="00885FE1">
        <w:t>(21), 2059–2060. https://doi.org/10.1056/NEJMc2118155</w:t>
      </w:r>
    </w:p>
    <w:p w14:paraId="47E6F6AB" w14:textId="57028FFD" w:rsidR="00E67FBD" w:rsidRDefault="00E67FBD" w:rsidP="00D77475">
      <w:pPr>
        <w:pStyle w:val="Heading4"/>
        <w:spacing w:after="0"/>
      </w:pPr>
      <w:r>
        <w:t>[</w:t>
      </w:r>
      <w:r>
        <w:t>7</w:t>
      </w:r>
      <w:r>
        <w:t xml:space="preserve">] </w:t>
      </w:r>
      <w:r w:rsidR="00885FE1" w:rsidRPr="00885FE1">
        <w:t xml:space="preserve">Li, C., Qiao, Q., Hao, S. B., Dong, Z., Zhao, L., Ji, J., Wang, Z. Y., &amp; Wen, H. L. (2018). </w:t>
      </w:r>
      <w:r w:rsidR="00885FE1" w:rsidRPr="00885FE1">
        <w:rPr>
          <w:i/>
          <w:iCs/>
        </w:rPr>
        <w:t>Virus research</w:t>
      </w:r>
      <w:r w:rsidR="00885FE1" w:rsidRPr="00885FE1">
        <w:t xml:space="preserve">, </w:t>
      </w:r>
      <w:r w:rsidR="00885FE1" w:rsidRPr="00885FE1">
        <w:rPr>
          <w:b/>
          <w:bCs w:val="0"/>
        </w:rPr>
        <w:t>244</w:t>
      </w:r>
      <w:r w:rsidR="00885FE1" w:rsidRPr="00885FE1">
        <w:t>, 262–269. https://doi.org/10.1016/j.virusres.2017.11.023</w:t>
      </w:r>
    </w:p>
    <w:p w14:paraId="0291DC3C" w14:textId="6D5ADBD0" w:rsidR="00E67FBD" w:rsidRDefault="00E67FBD" w:rsidP="00D77475">
      <w:pPr>
        <w:pStyle w:val="Heading4"/>
        <w:spacing w:after="0"/>
      </w:pPr>
      <w:r>
        <w:t>[</w:t>
      </w:r>
      <w:r>
        <w:t>8</w:t>
      </w:r>
      <w:r>
        <w:t xml:space="preserve">] </w:t>
      </w:r>
      <w:r w:rsidR="00885FE1" w:rsidRPr="00885FE1">
        <w:t xml:space="preserve">Feng, Q., </w:t>
      </w:r>
      <w:proofErr w:type="spellStart"/>
      <w:r w:rsidR="00885FE1" w:rsidRPr="00885FE1">
        <w:t>Langereis</w:t>
      </w:r>
      <w:proofErr w:type="spellEnd"/>
      <w:r w:rsidR="00885FE1" w:rsidRPr="00885FE1">
        <w:t xml:space="preserve">, M. A., Lork, M., Nguyen, M., Hato, S. V., Lanke, K., </w:t>
      </w:r>
      <w:proofErr w:type="spellStart"/>
      <w:r w:rsidR="00885FE1" w:rsidRPr="00885FE1">
        <w:t>Emdad</w:t>
      </w:r>
      <w:proofErr w:type="spellEnd"/>
      <w:r w:rsidR="00885FE1" w:rsidRPr="00885FE1">
        <w:t xml:space="preserve">, L., Bhoopathi, P., Fisher, P. B., Lloyd, R. E., &amp; van </w:t>
      </w:r>
      <w:proofErr w:type="spellStart"/>
      <w:r w:rsidR="00885FE1" w:rsidRPr="00885FE1">
        <w:t>Kuppeveld</w:t>
      </w:r>
      <w:proofErr w:type="spellEnd"/>
      <w:r w:rsidR="00885FE1" w:rsidRPr="00885FE1">
        <w:t xml:space="preserve">, F. J. (2014). </w:t>
      </w:r>
      <w:r w:rsidR="00885FE1" w:rsidRPr="00885FE1">
        <w:rPr>
          <w:i/>
          <w:iCs/>
        </w:rPr>
        <w:t>Journal of virology</w:t>
      </w:r>
      <w:r w:rsidR="00885FE1" w:rsidRPr="00885FE1">
        <w:t xml:space="preserve">, </w:t>
      </w:r>
      <w:r w:rsidR="00885FE1" w:rsidRPr="00885FE1">
        <w:rPr>
          <w:b/>
          <w:bCs w:val="0"/>
        </w:rPr>
        <w:t>88</w:t>
      </w:r>
      <w:r w:rsidR="00885FE1" w:rsidRPr="00885FE1">
        <w:t>(6), 3369–3378. https://doi.org/10.1128/JVI.02712-13</w:t>
      </w:r>
    </w:p>
    <w:p w14:paraId="756384D9" w14:textId="0D5CCDF8" w:rsidR="00E67FBD" w:rsidRDefault="00E67FBD" w:rsidP="00D77475">
      <w:pPr>
        <w:pStyle w:val="Heading4"/>
        <w:spacing w:after="0"/>
      </w:pPr>
      <w:r>
        <w:t>[</w:t>
      </w:r>
      <w:r>
        <w:t>9</w:t>
      </w:r>
      <w:r>
        <w:t xml:space="preserve">] </w:t>
      </w:r>
      <w:r w:rsidR="00885FE1" w:rsidRPr="00885FE1">
        <w:t xml:space="preserve">Ishida, T., &amp; </w:t>
      </w:r>
      <w:proofErr w:type="spellStart"/>
      <w:r w:rsidR="00885FE1" w:rsidRPr="00885FE1">
        <w:t>Ciulli</w:t>
      </w:r>
      <w:proofErr w:type="spellEnd"/>
      <w:r w:rsidR="00885FE1" w:rsidRPr="00885FE1">
        <w:t>, A. (2021</w:t>
      </w:r>
      <w:r w:rsidR="00885FE1">
        <w:t>)</w:t>
      </w:r>
      <w:r w:rsidR="00885FE1" w:rsidRPr="00885FE1">
        <w:t xml:space="preserve">. </w:t>
      </w:r>
      <w:r w:rsidR="00885FE1" w:rsidRPr="00885FE1">
        <w:rPr>
          <w:i/>
          <w:iCs/>
        </w:rPr>
        <w:t xml:space="preserve">SLAS </w:t>
      </w:r>
      <w:proofErr w:type="gramStart"/>
      <w:r w:rsidR="00885FE1" w:rsidRPr="00885FE1">
        <w:rPr>
          <w:i/>
          <w:iCs/>
        </w:rPr>
        <w:t>discovery :</w:t>
      </w:r>
      <w:proofErr w:type="gramEnd"/>
      <w:r w:rsidR="00885FE1" w:rsidRPr="00885FE1">
        <w:rPr>
          <w:i/>
          <w:iCs/>
        </w:rPr>
        <w:t xml:space="preserve"> advancing life sciences R &amp; D,</w:t>
      </w:r>
      <w:r w:rsidR="00885FE1" w:rsidRPr="00885FE1">
        <w:t xml:space="preserve"> </w:t>
      </w:r>
      <w:r w:rsidR="00885FE1" w:rsidRPr="00885FE1">
        <w:rPr>
          <w:b/>
          <w:bCs w:val="0"/>
        </w:rPr>
        <w:t>26</w:t>
      </w:r>
      <w:r w:rsidR="00885FE1" w:rsidRPr="00885FE1">
        <w:t>(4), 484–502. https://doi.org/10.1177/2472555220965528</w:t>
      </w:r>
    </w:p>
    <w:p w14:paraId="05EC6EB3" w14:textId="3C5660E9" w:rsidR="00E67FBD" w:rsidRDefault="00E67FBD" w:rsidP="00D77475">
      <w:pPr>
        <w:pStyle w:val="Heading4"/>
        <w:spacing w:after="0"/>
      </w:pPr>
      <w:r>
        <w:t>[</w:t>
      </w:r>
      <w:r>
        <w:t>10</w:t>
      </w:r>
      <w:r>
        <w:t xml:space="preserve">] </w:t>
      </w:r>
      <w:r w:rsidR="00885FE1" w:rsidRPr="00885FE1">
        <w:t xml:space="preserve">Cowan, A. D., &amp; </w:t>
      </w:r>
      <w:proofErr w:type="spellStart"/>
      <w:r w:rsidR="00885FE1" w:rsidRPr="00885FE1">
        <w:t>Ciulli</w:t>
      </w:r>
      <w:proofErr w:type="spellEnd"/>
      <w:r w:rsidR="00885FE1" w:rsidRPr="00885FE1">
        <w:t xml:space="preserve">, A. (2022). </w:t>
      </w:r>
      <w:r w:rsidR="00885FE1" w:rsidRPr="00885FE1">
        <w:rPr>
          <w:i/>
          <w:iCs/>
        </w:rPr>
        <w:t>Annual review of biochemistry</w:t>
      </w:r>
      <w:r w:rsidR="00885FE1" w:rsidRPr="00885FE1">
        <w:t xml:space="preserve">, </w:t>
      </w:r>
      <w:r w:rsidR="00885FE1" w:rsidRPr="00885FE1">
        <w:rPr>
          <w:b/>
          <w:bCs w:val="0"/>
        </w:rPr>
        <w:t>91</w:t>
      </w:r>
      <w:r w:rsidR="00885FE1" w:rsidRPr="00885FE1">
        <w:t>, 295–319. https://doi.org/10.1146/annurev-biochem-032620-104421</w:t>
      </w:r>
    </w:p>
    <w:p w14:paraId="79F0C7FE" w14:textId="566B646B" w:rsidR="00885FE1" w:rsidRDefault="00885FE1" w:rsidP="00D77475">
      <w:pPr>
        <w:pStyle w:val="Heading4"/>
        <w:spacing w:after="0"/>
      </w:pPr>
      <w:r>
        <w:t xml:space="preserve">[10] </w:t>
      </w:r>
      <w:r w:rsidRPr="00885FE1">
        <w:t xml:space="preserve">Békés, M., Langley, D. R., &amp; Crews, C. M. (2022). </w:t>
      </w:r>
      <w:r w:rsidRPr="00885FE1">
        <w:rPr>
          <w:i/>
          <w:iCs/>
        </w:rPr>
        <w:t>Nature reviews. Drug discovery</w:t>
      </w:r>
      <w:r w:rsidRPr="00885FE1">
        <w:t xml:space="preserve">, </w:t>
      </w:r>
      <w:r w:rsidRPr="00885FE1">
        <w:rPr>
          <w:b/>
          <w:bCs w:val="0"/>
        </w:rPr>
        <w:t>21</w:t>
      </w:r>
      <w:r w:rsidRPr="00885FE1">
        <w:t>(3), 181–200. https://doi.org/10.1038/s41573-021-00371-6</w:t>
      </w:r>
    </w:p>
    <w:p w14:paraId="34F3E24D" w14:textId="068DA882" w:rsidR="0024220C" w:rsidRDefault="00A17590" w:rsidP="00A17590">
      <w:pPr>
        <w:pStyle w:val="Acknowledgement"/>
      </w:pPr>
      <w:r w:rsidRPr="00A17590">
        <w:rPr>
          <w:lang w:eastAsia="cs-CZ"/>
        </w:rPr>
        <w:t>This project has received funding from the European Union’s Horizon Europe research and innovation programme under Grant Agreement no. 101137229.</w:t>
      </w:r>
    </w:p>
    <w:sectPr w:rsidR="0024220C">
      <w:headerReference w:type="default" r:id="rId8"/>
      <w:footerReference w:type="default" r:id="rId9"/>
      <w:pgSz w:w="12240" w:h="15840"/>
      <w:pgMar w:top="765" w:right="720" w:bottom="765" w:left="720" w:header="708" w:footer="708" w:gutter="0"/>
      <w:cols w:space="708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35FD5" w14:textId="77777777" w:rsidR="008442B1" w:rsidRDefault="008442B1">
      <w:pPr>
        <w:spacing w:after="0"/>
      </w:pPr>
      <w:r>
        <w:separator/>
      </w:r>
    </w:p>
  </w:endnote>
  <w:endnote w:type="continuationSeparator" w:id="0">
    <w:p w14:paraId="53C6DF83" w14:textId="77777777" w:rsidR="008442B1" w:rsidRDefault="00844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13E47" w14:textId="77777777" w:rsidR="0024220C" w:rsidRDefault="00000000">
    <w:pPr>
      <w:pStyle w:val="Footer"/>
    </w:pPr>
    <w:r>
      <w:t xml:space="preserve">Acta </w:t>
    </w:r>
    <w:proofErr w:type="spellStart"/>
    <w:r>
      <w:t>Cryst</w:t>
    </w:r>
    <w:proofErr w:type="spellEnd"/>
    <w:r>
      <w:t>. (2025). A81, e1</w:t>
    </w:r>
  </w:p>
  <w:p w14:paraId="78CF13D0" w14:textId="77777777" w:rsidR="0024220C" w:rsidRDefault="0024220C">
    <w:pPr>
      <w:tabs>
        <w:tab w:val="center" w:pos="4703"/>
        <w:tab w:val="right" w:pos="94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E8EC6" w14:textId="77777777" w:rsidR="008442B1" w:rsidRDefault="008442B1">
      <w:pPr>
        <w:spacing w:after="0"/>
      </w:pPr>
      <w:r>
        <w:separator/>
      </w:r>
    </w:p>
  </w:footnote>
  <w:footnote w:type="continuationSeparator" w:id="0">
    <w:p w14:paraId="675C19C4" w14:textId="77777777" w:rsidR="008442B1" w:rsidRDefault="008442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6D009" w14:textId="77777777" w:rsidR="0024220C" w:rsidRDefault="00000000">
    <w:pPr>
      <w:tabs>
        <w:tab w:val="center" w:pos="4703"/>
        <w:tab w:val="right" w:pos="9406"/>
      </w:tabs>
    </w:pPr>
    <w:r>
      <w:rPr>
        <w:b/>
        <w:bCs/>
      </w:rPr>
      <w:t>MS</w:t>
    </w:r>
    <w:r>
      <w:tab/>
    </w:r>
    <w:proofErr w:type="spellStart"/>
    <w:r>
      <w:rPr>
        <w:b/>
        <w:bCs/>
      </w:rPr>
      <w:t>Microsymposium</w:t>
    </w:r>
    <w:proofErr w:type="spellEnd"/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220C"/>
    <w:rsid w:val="0024220C"/>
    <w:rsid w:val="00495E83"/>
    <w:rsid w:val="00561779"/>
    <w:rsid w:val="00714771"/>
    <w:rsid w:val="008442B1"/>
    <w:rsid w:val="00885FE1"/>
    <w:rsid w:val="00A17590"/>
    <w:rsid w:val="00D77475"/>
    <w:rsid w:val="00E67FBD"/>
    <w:rsid w:val="00FC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54EFF96"/>
  <w15:docId w15:val="{31374A3A-58EE-4843-8DA2-D350231D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275"/>
    <w:pPr>
      <w:suppressAutoHyphens/>
      <w:spacing w:after="120"/>
      <w:jc w:val="both"/>
    </w:pPr>
    <w:rPr>
      <w:lang w:val="en-GB" w:eastAsia="de-DE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925275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2"/>
      <w:sz w:val="24"/>
      <w:szCs w:val="32"/>
    </w:rPr>
  </w:style>
  <w:style w:type="paragraph" w:styleId="Heading2">
    <w:name w:val="heading 2"/>
    <w:basedOn w:val="Normal"/>
    <w:next w:val="Heading3"/>
    <w:link w:val="Heading2Char"/>
    <w:uiPriority w:val="99"/>
    <w:qFormat/>
    <w:rsid w:val="00925275"/>
    <w:pPr>
      <w:keepNext/>
      <w:spacing w:before="240" w:after="240"/>
      <w:jc w:val="center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E03DB"/>
    <w:pPr>
      <w:keepNext/>
      <w:jc w:val="center"/>
      <w:outlineLvl w:val="2"/>
    </w:pPr>
    <w:rPr>
      <w:bCs/>
      <w:i/>
      <w:szCs w:val="24"/>
      <w:lang w:eastAsia="cs-CZ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F732E"/>
    <w:pPr>
      <w:keepNext/>
      <w:ind w:left="567" w:hanging="567"/>
      <w:outlineLvl w:val="3"/>
    </w:pPr>
    <w:rPr>
      <w:bCs/>
      <w:sz w:val="18"/>
      <w:szCs w:val="24"/>
      <w:lang w:eastAsia="cs-CZ"/>
    </w:rPr>
  </w:style>
  <w:style w:type="paragraph" w:styleId="Heading5">
    <w:name w:val="heading 5"/>
    <w:basedOn w:val="Heading6"/>
    <w:next w:val="Normal"/>
    <w:link w:val="Heading5Char"/>
    <w:uiPriority w:val="9"/>
    <w:unhideWhenUsed/>
    <w:qFormat/>
    <w:rsid w:val="00605A18"/>
    <w:p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7DA8"/>
    <w:pPr>
      <w:spacing w:after="60"/>
      <w:jc w:val="center"/>
      <w:outlineLvl w:val="5"/>
    </w:pPr>
    <w:rPr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qFormat/>
    <w:locked/>
    <w:rsid w:val="00925275"/>
    <w:rPr>
      <w:rFonts w:ascii="Arial" w:hAnsi="Arial" w:cs="Arial"/>
      <w:b/>
      <w:bCs/>
      <w:kern w:val="2"/>
      <w:sz w:val="24"/>
      <w:szCs w:val="32"/>
      <w:lang w:val="en-GB" w:eastAsia="de-DE"/>
    </w:rPr>
  </w:style>
  <w:style w:type="character" w:customStyle="1" w:styleId="Heading2Char">
    <w:name w:val="Heading 2 Char"/>
    <w:link w:val="Heading2"/>
    <w:uiPriority w:val="99"/>
    <w:qFormat/>
    <w:locked/>
    <w:rsid w:val="00925275"/>
    <w:rPr>
      <w:rFonts w:ascii="Arial" w:hAnsi="Arial" w:cs="Arial"/>
      <w:b/>
      <w:bCs/>
      <w:iCs/>
      <w:sz w:val="22"/>
      <w:szCs w:val="28"/>
      <w:lang w:val="en-GB" w:eastAsia="de-DE"/>
    </w:rPr>
  </w:style>
  <w:style w:type="character" w:customStyle="1" w:styleId="Heading3Char">
    <w:name w:val="Heading 3 Char"/>
    <w:link w:val="Heading3"/>
    <w:uiPriority w:val="99"/>
    <w:qFormat/>
    <w:locked/>
    <w:rsid w:val="002E03DB"/>
    <w:rPr>
      <w:bCs/>
      <w:i/>
      <w:sz w:val="22"/>
      <w:szCs w:val="24"/>
      <w:lang w:val="en-GB"/>
    </w:rPr>
  </w:style>
  <w:style w:type="character" w:customStyle="1" w:styleId="Heading4Char">
    <w:name w:val="Heading 4 Char"/>
    <w:link w:val="Heading4"/>
    <w:uiPriority w:val="99"/>
    <w:qFormat/>
    <w:locked/>
    <w:rsid w:val="00FF732E"/>
    <w:rPr>
      <w:bCs/>
      <w:sz w:val="18"/>
      <w:szCs w:val="24"/>
      <w:lang w:val="en-GB"/>
    </w:rPr>
  </w:style>
  <w:style w:type="character" w:customStyle="1" w:styleId="HTMLAddressChar">
    <w:name w:val="HTML Address Char"/>
    <w:link w:val="HTMLAddress"/>
    <w:uiPriority w:val="99"/>
    <w:semiHidden/>
    <w:qFormat/>
    <w:rsid w:val="005E6DCD"/>
    <w:rPr>
      <w:i/>
      <w:iCs/>
      <w:lang w:val="de-DE" w:eastAsia="de-DE"/>
    </w:rPr>
  </w:style>
  <w:style w:type="character" w:customStyle="1" w:styleId="Heading5Char">
    <w:name w:val="Heading 5 Char"/>
    <w:link w:val="Heading5"/>
    <w:uiPriority w:val="9"/>
    <w:qFormat/>
    <w:rsid w:val="00605A18"/>
    <w:rPr>
      <w:b/>
      <w:bCs/>
      <w:szCs w:val="22"/>
      <w:lang w:val="en-GB" w:eastAsia="de-DE"/>
    </w:rPr>
  </w:style>
  <w:style w:type="character" w:customStyle="1" w:styleId="Heading6Char">
    <w:name w:val="Heading 6 Char"/>
    <w:link w:val="Heading6"/>
    <w:uiPriority w:val="9"/>
    <w:qFormat/>
    <w:rsid w:val="00777DA8"/>
    <w:rPr>
      <w:rFonts w:eastAsia="Times New Roman" w:cs="Times New Roman"/>
      <w:bCs/>
      <w:szCs w:val="22"/>
      <w:lang w:val="de-DE" w:eastAsia="de-DE"/>
    </w:rPr>
  </w:style>
  <w:style w:type="character" w:customStyle="1" w:styleId="HeaderChar">
    <w:name w:val="Header Char"/>
    <w:link w:val="Header"/>
    <w:uiPriority w:val="99"/>
    <w:qFormat/>
    <w:rsid w:val="00D13351"/>
    <w:rPr>
      <w:lang w:val="en-GB" w:eastAsia="de-DE"/>
    </w:rPr>
  </w:style>
  <w:style w:type="character" w:customStyle="1" w:styleId="FooterChar">
    <w:name w:val="Footer Char"/>
    <w:link w:val="Footer"/>
    <w:uiPriority w:val="99"/>
    <w:qFormat/>
    <w:rsid w:val="00D13351"/>
    <w:rPr>
      <w:lang w:val="en-GB" w:eastAsia="de-DE"/>
    </w:rPr>
  </w:style>
  <w:style w:type="character" w:customStyle="1" w:styleId="BalloonTextChar">
    <w:name w:val="Balloon Text Char"/>
    <w:link w:val="BalloonText"/>
    <w:uiPriority w:val="99"/>
    <w:semiHidden/>
    <w:qFormat/>
    <w:rsid w:val="00C64DBE"/>
    <w:rPr>
      <w:rFonts w:ascii="Tahoma" w:hAnsi="Tahoma" w:cs="Tahoma"/>
      <w:sz w:val="16"/>
      <w:szCs w:val="16"/>
      <w:lang w:val="en-GB" w:eastAsia="de-D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Acknowledgement">
    <w:name w:val="Acknowledgement"/>
    <w:basedOn w:val="Normal"/>
    <w:qFormat/>
    <w:rsid w:val="00777DA8"/>
    <w:rPr>
      <w:i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5E6DCD"/>
    <w:rPr>
      <w:i/>
      <w:iCs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1335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D1335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64DBE"/>
    <w:pPr>
      <w:spacing w:after="0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26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7FB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67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1E0AE-6DDE-4FDB-AD25-D0DA1D2E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816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 Structure</vt:lpstr>
    </vt:vector>
  </TitlesOfParts>
  <Company>MFF UK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Structure</dc:title>
  <dc:subject/>
  <dc:creator>Uživatel systému Windows</dc:creator>
  <dc:description/>
  <cp:lastModifiedBy>Kaščáková Barbora Mgr. Ph.D.</cp:lastModifiedBy>
  <cp:revision>18</cp:revision>
  <dcterms:created xsi:type="dcterms:W3CDTF">2019-09-04T15:26:00Z</dcterms:created>
  <dcterms:modified xsi:type="dcterms:W3CDTF">2025-05-19T14:00:00Z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