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36" w:rsidRPr="00037568" w:rsidRDefault="00796D36" w:rsidP="00796D36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37568">
        <w:rPr>
          <w:rFonts w:ascii="Arial" w:hAnsi="Arial" w:cs="Arial"/>
          <w:b/>
          <w:bCs/>
          <w:sz w:val="24"/>
          <w:szCs w:val="24"/>
        </w:rPr>
        <w:t>Cryo</w:t>
      </w:r>
      <w:proofErr w:type="spellEnd"/>
      <w:r w:rsidRPr="00037568">
        <w:rPr>
          <w:rFonts w:ascii="Arial" w:hAnsi="Arial" w:cs="Arial"/>
          <w:b/>
          <w:bCs/>
          <w:sz w:val="24"/>
          <w:szCs w:val="24"/>
        </w:rPr>
        <w:t xml:space="preserve">-EM and ED are driving structural studies at the University of Warsaw </w:t>
      </w:r>
    </w:p>
    <w:p w:rsidR="00796D36" w:rsidRPr="00425415" w:rsidRDefault="00796D36" w:rsidP="00796D36">
      <w:pPr>
        <w:jc w:val="center"/>
        <w:rPr>
          <w:b/>
          <w:bCs/>
        </w:rPr>
      </w:pPr>
    </w:p>
    <w:p w:rsidR="00796D36" w:rsidRPr="00581360" w:rsidRDefault="00796D36" w:rsidP="0042541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81360">
        <w:rPr>
          <w:rFonts w:ascii="Arial" w:hAnsi="Arial" w:cs="Arial"/>
          <w:b/>
          <w:bCs/>
          <w:sz w:val="22"/>
          <w:szCs w:val="22"/>
        </w:rPr>
        <w:t>Tomasz Góral</w:t>
      </w:r>
      <w:r w:rsidRPr="00581360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Pr="00581360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581360">
        <w:rPr>
          <w:rFonts w:ascii="Arial" w:hAnsi="Arial" w:cs="Arial"/>
          <w:b/>
          <w:bCs/>
          <w:sz w:val="22"/>
          <w:szCs w:val="22"/>
        </w:rPr>
        <w:t>Szymon</w:t>
      </w:r>
      <w:proofErr w:type="spellEnd"/>
      <w:r w:rsidRPr="00581360">
        <w:rPr>
          <w:rFonts w:ascii="Arial" w:hAnsi="Arial" w:cs="Arial"/>
          <w:b/>
          <w:bCs/>
          <w:sz w:val="22"/>
          <w:szCs w:val="22"/>
        </w:rPr>
        <w:t xml:space="preserve"> Sutuła</w:t>
      </w:r>
      <w:r w:rsidRPr="00581360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Pr="00581360">
        <w:rPr>
          <w:rFonts w:ascii="Arial" w:hAnsi="Arial" w:cs="Arial"/>
          <w:b/>
          <w:bCs/>
          <w:sz w:val="22"/>
          <w:szCs w:val="22"/>
        </w:rPr>
        <w:t>, Krzysztof Woźniak</w:t>
      </w:r>
      <w:r w:rsidRPr="00581360">
        <w:rPr>
          <w:rFonts w:ascii="Arial" w:hAnsi="Arial" w:cs="Arial"/>
          <w:b/>
          <w:bCs/>
          <w:sz w:val="22"/>
          <w:szCs w:val="22"/>
          <w:vertAlign w:val="superscript"/>
        </w:rPr>
        <w:t>1,2,3</w:t>
      </w:r>
      <w:r w:rsidRPr="0058136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96D36" w:rsidRPr="00037568" w:rsidRDefault="00037568" w:rsidP="00037568">
      <w:pPr>
        <w:pStyle w:val="Nagwek1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  <w:vertAlign w:val="superscript"/>
        </w:rPr>
        <w:t xml:space="preserve">1 </w:t>
      </w:r>
      <w:proofErr w:type="spellStart"/>
      <w:r w:rsidR="00796D36" w:rsidRPr="00037568">
        <w:rPr>
          <w:rFonts w:ascii="Times New Roman" w:hAnsi="Times New Roman" w:cs="Times New Roman"/>
          <w:b w:val="0"/>
          <w:i/>
          <w:sz w:val="20"/>
          <w:szCs w:val="20"/>
        </w:rPr>
        <w:t>Cryomicroscopy</w:t>
      </w:r>
      <w:proofErr w:type="spellEnd"/>
      <w:r w:rsidR="00796D36" w:rsidRPr="00037568">
        <w:rPr>
          <w:rFonts w:ascii="Times New Roman" w:hAnsi="Times New Roman" w:cs="Times New Roman"/>
          <w:b w:val="0"/>
          <w:i/>
          <w:sz w:val="20"/>
          <w:szCs w:val="20"/>
        </w:rPr>
        <w:t xml:space="preserve"> and Electron Diffraction Core Facility, Centre of New Technologies, University of Warsaw, </w:t>
      </w:r>
      <w:proofErr w:type="spellStart"/>
      <w:r w:rsidR="00796D36" w:rsidRPr="00037568">
        <w:rPr>
          <w:rFonts w:ascii="Times New Roman" w:hAnsi="Times New Roman" w:cs="Times New Roman"/>
          <w:b w:val="0"/>
          <w:i/>
          <w:sz w:val="20"/>
          <w:szCs w:val="20"/>
        </w:rPr>
        <w:t>ul</w:t>
      </w:r>
      <w:proofErr w:type="spellEnd"/>
      <w:r w:rsidR="00796D36" w:rsidRPr="00037568">
        <w:rPr>
          <w:rFonts w:ascii="Times New Roman" w:hAnsi="Times New Roman" w:cs="Times New Roman"/>
          <w:b w:val="0"/>
          <w:i/>
          <w:sz w:val="20"/>
          <w:szCs w:val="20"/>
        </w:rPr>
        <w:t xml:space="preserve">. </w:t>
      </w:r>
      <w:proofErr w:type="spellStart"/>
      <w:r w:rsidR="00796D36" w:rsidRPr="00037568">
        <w:rPr>
          <w:rFonts w:ascii="Times New Roman" w:hAnsi="Times New Roman" w:cs="Times New Roman"/>
          <w:b w:val="0"/>
          <w:i/>
          <w:sz w:val="20"/>
          <w:szCs w:val="20"/>
        </w:rPr>
        <w:t>Banacha</w:t>
      </w:r>
      <w:proofErr w:type="spellEnd"/>
      <w:r w:rsidR="00796D36" w:rsidRPr="00037568">
        <w:rPr>
          <w:rFonts w:ascii="Times New Roman" w:hAnsi="Times New Roman" w:cs="Times New Roman"/>
          <w:b w:val="0"/>
          <w:i/>
          <w:sz w:val="20"/>
          <w:szCs w:val="20"/>
        </w:rPr>
        <w:t xml:space="preserve"> 2C, 02-097 Warszawa</w:t>
      </w: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b w:val="0"/>
          <w:i/>
          <w:sz w:val="20"/>
          <w:szCs w:val="20"/>
          <w:vertAlign w:val="superscript"/>
        </w:rPr>
        <w:t>2</w:t>
      </w:r>
      <w:r w:rsidR="00796D36" w:rsidRPr="00037568">
        <w:rPr>
          <w:rFonts w:ascii="Times New Roman" w:hAnsi="Times New Roman" w:cs="Times New Roman"/>
          <w:b w:val="0"/>
          <w:i/>
          <w:sz w:val="20"/>
          <w:szCs w:val="20"/>
        </w:rPr>
        <w:t xml:space="preserve">Biological and Chemical Sciences Research Centre, University of Warsaw, </w:t>
      </w:r>
      <w:proofErr w:type="spellStart"/>
      <w:r w:rsidR="00796D36" w:rsidRPr="00037568">
        <w:rPr>
          <w:rFonts w:ascii="Times New Roman" w:hAnsi="Times New Roman" w:cs="Times New Roman"/>
          <w:b w:val="0"/>
          <w:i/>
          <w:sz w:val="20"/>
          <w:szCs w:val="20"/>
        </w:rPr>
        <w:t>ul</w:t>
      </w:r>
      <w:proofErr w:type="spellEnd"/>
      <w:r w:rsidR="00796D36" w:rsidRPr="00037568">
        <w:rPr>
          <w:rFonts w:ascii="Times New Roman" w:hAnsi="Times New Roman" w:cs="Times New Roman"/>
          <w:b w:val="0"/>
          <w:i/>
          <w:sz w:val="20"/>
          <w:szCs w:val="20"/>
        </w:rPr>
        <w:t xml:space="preserve">. </w:t>
      </w:r>
      <w:proofErr w:type="spellStart"/>
      <w:r w:rsidR="00796D36" w:rsidRPr="00037568">
        <w:rPr>
          <w:rFonts w:ascii="Times New Roman" w:hAnsi="Times New Roman" w:cs="Times New Roman"/>
          <w:b w:val="0"/>
          <w:i/>
          <w:sz w:val="20"/>
          <w:szCs w:val="20"/>
        </w:rPr>
        <w:t>Żwirki</w:t>
      </w:r>
      <w:proofErr w:type="spellEnd"/>
      <w:r w:rsidR="00796D36" w:rsidRPr="00037568">
        <w:rPr>
          <w:rFonts w:ascii="Times New Roman" w:hAnsi="Times New Roman" w:cs="Times New Roman"/>
          <w:b w:val="0"/>
          <w:i/>
          <w:sz w:val="20"/>
          <w:szCs w:val="20"/>
        </w:rPr>
        <w:t xml:space="preserve"> </w:t>
      </w:r>
      <w:proofErr w:type="spellStart"/>
      <w:r w:rsidR="00796D36" w:rsidRPr="00037568">
        <w:rPr>
          <w:rFonts w:ascii="Times New Roman" w:hAnsi="Times New Roman" w:cs="Times New Roman"/>
          <w:b w:val="0"/>
          <w:i/>
          <w:sz w:val="20"/>
          <w:szCs w:val="20"/>
        </w:rPr>
        <w:t>i</w:t>
      </w:r>
      <w:proofErr w:type="spellEnd"/>
      <w:r w:rsidR="00796D36" w:rsidRPr="00037568">
        <w:rPr>
          <w:rFonts w:ascii="Times New Roman" w:hAnsi="Times New Roman" w:cs="Times New Roman"/>
          <w:b w:val="0"/>
          <w:i/>
          <w:sz w:val="20"/>
          <w:szCs w:val="20"/>
        </w:rPr>
        <w:t xml:space="preserve"> </w:t>
      </w:r>
      <w:proofErr w:type="spellStart"/>
      <w:r w:rsidR="00796D36" w:rsidRPr="00037568">
        <w:rPr>
          <w:rFonts w:ascii="Times New Roman" w:hAnsi="Times New Roman" w:cs="Times New Roman"/>
          <w:b w:val="0"/>
          <w:i/>
          <w:sz w:val="20"/>
          <w:szCs w:val="20"/>
        </w:rPr>
        <w:t>Wigury</w:t>
      </w:r>
      <w:proofErr w:type="spellEnd"/>
      <w:r w:rsidR="00796D36" w:rsidRPr="00037568">
        <w:rPr>
          <w:rFonts w:ascii="Times New Roman" w:hAnsi="Times New Roman" w:cs="Times New Roman"/>
          <w:b w:val="0"/>
          <w:i/>
          <w:sz w:val="20"/>
          <w:szCs w:val="20"/>
        </w:rPr>
        <w:t xml:space="preserve"> 101, 02-089 Warszawa</w:t>
      </w: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i/>
          <w:sz w:val="20"/>
          <w:szCs w:val="20"/>
          <w:vertAlign w:val="superscript"/>
        </w:rPr>
        <w:t>3</w:t>
      </w:r>
      <w:r w:rsidR="00796D36" w:rsidRPr="00037568">
        <w:rPr>
          <w:rFonts w:ascii="Times New Roman" w:hAnsi="Times New Roman" w:cs="Times New Roman"/>
          <w:b w:val="0"/>
          <w:i/>
          <w:sz w:val="20"/>
          <w:szCs w:val="20"/>
        </w:rPr>
        <w:t xml:space="preserve">Department of Chemistry, University of Warsaw, </w:t>
      </w:r>
      <w:proofErr w:type="spellStart"/>
      <w:r w:rsidR="00796D36" w:rsidRPr="00037568">
        <w:rPr>
          <w:rFonts w:ascii="Times New Roman" w:hAnsi="Times New Roman" w:cs="Times New Roman"/>
          <w:b w:val="0"/>
          <w:i/>
          <w:sz w:val="20"/>
          <w:szCs w:val="20"/>
        </w:rPr>
        <w:t>ul</w:t>
      </w:r>
      <w:proofErr w:type="spellEnd"/>
      <w:r w:rsidR="00796D36" w:rsidRPr="00037568">
        <w:rPr>
          <w:rFonts w:ascii="Times New Roman" w:hAnsi="Times New Roman" w:cs="Times New Roman"/>
          <w:b w:val="0"/>
          <w:i/>
          <w:sz w:val="20"/>
          <w:szCs w:val="20"/>
        </w:rPr>
        <w:t xml:space="preserve">. </w:t>
      </w:r>
      <w:proofErr w:type="spellStart"/>
      <w:r w:rsidR="00796D36" w:rsidRPr="00037568">
        <w:rPr>
          <w:rFonts w:ascii="Times New Roman" w:hAnsi="Times New Roman" w:cs="Times New Roman"/>
          <w:b w:val="0"/>
          <w:i/>
          <w:sz w:val="20"/>
          <w:szCs w:val="20"/>
        </w:rPr>
        <w:t>Pasteura</w:t>
      </w:r>
      <w:proofErr w:type="spellEnd"/>
      <w:r w:rsidR="00796D36" w:rsidRPr="00037568">
        <w:rPr>
          <w:rFonts w:ascii="Times New Roman" w:hAnsi="Times New Roman" w:cs="Times New Roman"/>
          <w:b w:val="0"/>
          <w:i/>
          <w:sz w:val="20"/>
          <w:szCs w:val="20"/>
        </w:rPr>
        <w:t xml:space="preserve"> 02-093 Warszawa</w:t>
      </w:r>
    </w:p>
    <w:p w:rsidR="00796D36" w:rsidRPr="00C7007D" w:rsidRDefault="00C7007D" w:rsidP="00C7007D">
      <w:pPr>
        <w:jc w:val="center"/>
        <w:rPr>
          <w:i/>
        </w:rPr>
      </w:pPr>
      <w:r>
        <w:rPr>
          <w:i/>
        </w:rPr>
        <w:t>Email of communicating author: t.goral@cent.uw.edu.pl</w:t>
      </w:r>
    </w:p>
    <w:p w:rsidR="00796D36" w:rsidRDefault="00796D36" w:rsidP="00796D36"/>
    <w:p w:rsidR="00FE2447" w:rsidRDefault="00796D36" w:rsidP="00FE2447">
      <w:pPr>
        <w:pStyle w:val="Tekstpodstawowy2"/>
        <w:spacing w:line="360" w:lineRule="auto"/>
      </w:pPr>
      <w:r w:rsidRPr="00C80116">
        <w:t xml:space="preserve">In 2019 the University of Warsaw purchased and installed one of the first </w:t>
      </w:r>
      <w:proofErr w:type="spellStart"/>
      <w:r w:rsidRPr="00C80116">
        <w:t>cryo</w:t>
      </w:r>
      <w:proofErr w:type="spellEnd"/>
      <w:r w:rsidRPr="00C80116">
        <w:t xml:space="preserve">-EM microscopes in the country - the 200kV </w:t>
      </w:r>
      <w:proofErr w:type="spellStart"/>
      <w:r w:rsidRPr="00C80116">
        <w:t>Glacios</w:t>
      </w:r>
      <w:proofErr w:type="spellEnd"/>
      <w:r w:rsidRPr="00C80116">
        <w:t xml:space="preserve"> equipped with a Falcon3EC camera and a phase plate solution. In the next few years the </w:t>
      </w:r>
      <w:proofErr w:type="spellStart"/>
      <w:r w:rsidRPr="00C80116">
        <w:t>Cryomicroscopy</w:t>
      </w:r>
      <w:proofErr w:type="spellEnd"/>
      <w:r w:rsidRPr="00C80116">
        <w:t xml:space="preserve"> and Electron Diffraction Core Facility has been established and started providing many local structural biologists and chemists with a direct access to this </w:t>
      </w:r>
      <w:proofErr w:type="spellStart"/>
      <w:r w:rsidRPr="00C80116">
        <w:t>groundbreaking</w:t>
      </w:r>
      <w:proofErr w:type="spellEnd"/>
      <w:r w:rsidRPr="00C80116">
        <w:t xml:space="preserve"> and Noble-winning </w:t>
      </w:r>
      <w:proofErr w:type="spellStart"/>
      <w:r w:rsidRPr="00C80116">
        <w:t>cryo</w:t>
      </w:r>
      <w:proofErr w:type="spellEnd"/>
      <w:r w:rsidRPr="00C80116">
        <w:t>-EM technology. T</w:t>
      </w:r>
      <w:r w:rsidR="00C7007D">
        <w:t>o date, there have been only three</w:t>
      </w:r>
      <w:r w:rsidRPr="00C80116">
        <w:t xml:space="preserve"> </w:t>
      </w:r>
      <w:proofErr w:type="spellStart"/>
      <w:r w:rsidRPr="00C80116">
        <w:t>cryo</w:t>
      </w:r>
      <w:proofErr w:type="spellEnd"/>
      <w:r w:rsidRPr="00C80116">
        <w:t xml:space="preserve">-EM Core Facilities operating in Poland which provide services in all </w:t>
      </w:r>
      <w:proofErr w:type="spellStart"/>
      <w:r w:rsidRPr="00C80116">
        <w:t>cryo</w:t>
      </w:r>
      <w:proofErr w:type="spellEnd"/>
      <w:r w:rsidRPr="00C80116">
        <w:t xml:space="preserve">-EM modalities.  </w:t>
      </w:r>
    </w:p>
    <w:p w:rsidR="00796D36" w:rsidRPr="00FE2447" w:rsidRDefault="00FE2447" w:rsidP="00FE2447">
      <w:pPr>
        <w:pStyle w:val="Tekstpodstawowy2"/>
        <w:spacing w:line="360" w:lineRule="auto"/>
        <w:rPr>
          <w:b/>
        </w:rPr>
      </w:pPr>
      <w:r>
        <w:t>This poster</w:t>
      </w:r>
      <w:r w:rsidR="00796D36" w:rsidRPr="00C80116">
        <w:t xml:space="preserve"> shows the current possibilities of our Core Facility and a range of services which are offered to our users. We follow the open-access policy and welcome users from both national and international academic institutions as well as industry. Our recent developments include benchmarking the Single Particle Analysis (SPA) reconstruction of </w:t>
      </w:r>
      <w:proofErr w:type="spellStart"/>
      <w:r w:rsidR="00796D36" w:rsidRPr="00C80116">
        <w:t>GroEL</w:t>
      </w:r>
      <w:proofErr w:type="spellEnd"/>
      <w:r w:rsidR="00796D36" w:rsidRPr="00C80116">
        <w:t xml:space="preserve"> with </w:t>
      </w:r>
      <w:proofErr w:type="spellStart"/>
      <w:r w:rsidR="00796D36" w:rsidRPr="00C80116">
        <w:t>GroTAC</w:t>
      </w:r>
      <w:proofErr w:type="spellEnd"/>
      <w:r w:rsidR="00796D36" w:rsidRPr="00C80116">
        <w:t xml:space="preserve"> peptide  at the 2.45Å resolution level with local resolution reaching 2.2Å (PDB: 8S32)</w:t>
      </w:r>
      <w:r w:rsidR="009B473F">
        <w:t xml:space="preserve"> [1]</w:t>
      </w:r>
      <w:r w:rsidR="00796D36" w:rsidRPr="00C80116">
        <w:t xml:space="preserve"> and the 2.27Å reconstruction of the </w:t>
      </w:r>
      <w:proofErr w:type="spellStart"/>
      <w:r w:rsidR="00796D36" w:rsidRPr="00C80116">
        <w:t>AbiK</w:t>
      </w:r>
      <w:proofErr w:type="spellEnd"/>
      <w:r w:rsidR="00796D36" w:rsidRPr="00C80116">
        <w:t xml:space="preserve"> bacterial polymerase (PDB:7R06)</w:t>
      </w:r>
      <w:r w:rsidR="00015876">
        <w:t xml:space="preserve"> [2]</w:t>
      </w:r>
      <w:r w:rsidR="00796D36" w:rsidRPr="00C80116">
        <w:t>. The results are f</w:t>
      </w:r>
      <w:r w:rsidR="00796D36">
        <w:t>urther enhanced with the microcrystal electron diffraction (micro-ED) -  additional functionality</w:t>
      </w:r>
      <w:r w:rsidR="00796D36" w:rsidRPr="00C80116">
        <w:t xml:space="preserve"> of the microsco</w:t>
      </w:r>
      <w:r w:rsidR="00796D36">
        <w:t>pe</w:t>
      </w:r>
      <w:r w:rsidR="00796D36" w:rsidRPr="00C80116">
        <w:t xml:space="preserve"> allowing for a rapid structure determination of small molecules and/or proteins based on electron diffraction data</w:t>
      </w:r>
      <w:r w:rsidR="00F34C8E">
        <w:t xml:space="preserve"> as e.g. in Fig.1</w:t>
      </w:r>
      <w:r w:rsidR="00015876">
        <w:t xml:space="preserve"> [3-4]</w:t>
      </w:r>
      <w:r w:rsidR="00796D36" w:rsidRPr="00C80116">
        <w:t xml:space="preserve">. We highlight the importance of smaller </w:t>
      </w:r>
      <w:proofErr w:type="spellStart"/>
      <w:r w:rsidR="00796D36" w:rsidRPr="00C80116">
        <w:t>cryo</w:t>
      </w:r>
      <w:proofErr w:type="spellEnd"/>
      <w:r w:rsidR="00796D36" w:rsidRPr="00C80116">
        <w:t xml:space="preserve">-EM Core Facilities such as ours to serve as a first point of contact for users, in particular for those who are new to the </w:t>
      </w:r>
      <w:proofErr w:type="spellStart"/>
      <w:r w:rsidR="00796D36" w:rsidRPr="00C80116">
        <w:t>cryo</w:t>
      </w:r>
      <w:proofErr w:type="spellEnd"/>
      <w:r w:rsidR="00796D36" w:rsidRPr="00C80116">
        <w:t xml:space="preserve">-EM field and would like to explore different possibilities of getting high quality data prior to applying for the measurement time on high-end 300kV microscopes. We also show that being able to offer all </w:t>
      </w:r>
      <w:proofErr w:type="spellStart"/>
      <w:r w:rsidR="00796D36" w:rsidRPr="00C80116">
        <w:t>cryo</w:t>
      </w:r>
      <w:proofErr w:type="spellEnd"/>
      <w:r w:rsidR="00796D36" w:rsidRPr="00C80116">
        <w:t xml:space="preserve">-EM modalities </w:t>
      </w:r>
      <w:r w:rsidR="00796D36">
        <w:t xml:space="preserve">in one instrument (SPA,  </w:t>
      </w:r>
      <w:proofErr w:type="spellStart"/>
      <w:r w:rsidR="00796D36">
        <w:t>cryo</w:t>
      </w:r>
      <w:proofErr w:type="spellEnd"/>
      <w:r w:rsidR="00796D36">
        <w:t>-tomography</w:t>
      </w:r>
      <w:r w:rsidR="00796D36" w:rsidRPr="00C80116">
        <w:t xml:space="preserve"> and micro-ED) significantly boosts a research potential and opens up new possibilities across many Life Science applications. </w:t>
      </w:r>
    </w:p>
    <w:p w:rsidR="00796D36" w:rsidRDefault="002A0443" w:rsidP="002A0443">
      <w:pPr>
        <w:pStyle w:val="Tekstpodstawowy2"/>
        <w:jc w:val="center"/>
      </w:pPr>
      <w:r>
        <w:rPr>
          <w:noProof/>
          <w:lang w:val="pl-PL" w:eastAsia="pl-PL"/>
        </w:rPr>
        <w:drawing>
          <wp:inline distT="0" distB="0" distL="0" distR="0" wp14:anchorId="3A673C28" wp14:editId="257B98D5">
            <wp:extent cx="2847975" cy="1423988"/>
            <wp:effectExtent l="0" t="0" r="0" b="508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2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D36" w:rsidRPr="00FE2447" w:rsidRDefault="00F34C8E" w:rsidP="00F34C8E">
      <w:pPr>
        <w:pStyle w:val="Tekstpodstawowy2"/>
        <w:spacing w:line="360" w:lineRule="auto"/>
        <w:rPr>
          <w:sz w:val="18"/>
          <w:szCs w:val="18"/>
        </w:rPr>
      </w:pPr>
      <w:r w:rsidRPr="00F34C8E">
        <w:rPr>
          <w:b/>
          <w:sz w:val="18"/>
          <w:szCs w:val="18"/>
        </w:rPr>
        <w:t>Figure 1</w:t>
      </w:r>
      <w:r>
        <w:rPr>
          <w:sz w:val="18"/>
          <w:szCs w:val="18"/>
        </w:rPr>
        <w:t xml:space="preserve">. </w:t>
      </w:r>
      <w:proofErr w:type="spellStart"/>
      <w:r w:rsidR="00FE2447" w:rsidRPr="00FE2447">
        <w:rPr>
          <w:sz w:val="18"/>
          <w:szCs w:val="18"/>
        </w:rPr>
        <w:t>MicroED</w:t>
      </w:r>
      <w:proofErr w:type="spellEnd"/>
      <w:r w:rsidR="00FE2447" w:rsidRPr="00FE2447">
        <w:rPr>
          <w:sz w:val="18"/>
          <w:szCs w:val="18"/>
        </w:rPr>
        <w:t xml:space="preserve"> analysis of crystals from the surface of </w:t>
      </w:r>
      <w:r w:rsidR="00FE2447" w:rsidRPr="00FE2447">
        <w:rPr>
          <w:i/>
          <w:iCs/>
          <w:sz w:val="18"/>
          <w:szCs w:val="18"/>
        </w:rPr>
        <w:t xml:space="preserve">A. </w:t>
      </w:r>
      <w:proofErr w:type="spellStart"/>
      <w:r w:rsidR="00FE2447" w:rsidRPr="00FE2447">
        <w:rPr>
          <w:i/>
          <w:iCs/>
          <w:sz w:val="18"/>
          <w:szCs w:val="18"/>
        </w:rPr>
        <w:t>maritima</w:t>
      </w:r>
      <w:proofErr w:type="spellEnd"/>
      <w:r w:rsidR="00FE2447" w:rsidRPr="00FE2447">
        <w:rPr>
          <w:sz w:val="18"/>
          <w:szCs w:val="18"/>
        </w:rPr>
        <w:t> leaves (the measured microcrystal, an exemplary frame showing the diffraction signal, and the crystal packing of the compound): (</w:t>
      </w:r>
      <w:r w:rsidR="00FE2447" w:rsidRPr="00FE2447">
        <w:rPr>
          <w:b/>
          <w:bCs/>
          <w:sz w:val="18"/>
          <w:szCs w:val="18"/>
        </w:rPr>
        <w:t>a</w:t>
      </w:r>
      <w:r w:rsidR="00FE2447" w:rsidRPr="00FE2447">
        <w:rPr>
          <w:sz w:val="18"/>
          <w:szCs w:val="18"/>
        </w:rPr>
        <w:t>) sodium chloride (halite), (</w:t>
      </w:r>
      <w:r w:rsidR="00FE2447" w:rsidRPr="00FE2447">
        <w:rPr>
          <w:b/>
          <w:bCs/>
          <w:sz w:val="18"/>
          <w:szCs w:val="18"/>
        </w:rPr>
        <w:t>b</w:t>
      </w:r>
      <w:r w:rsidR="00FE2447" w:rsidRPr="00FE2447">
        <w:rPr>
          <w:sz w:val="18"/>
          <w:szCs w:val="18"/>
        </w:rPr>
        <w:t>) sodium sulphate (</w:t>
      </w:r>
      <w:proofErr w:type="spellStart"/>
      <w:r w:rsidR="00FE2447" w:rsidRPr="00FE2447">
        <w:rPr>
          <w:sz w:val="18"/>
          <w:szCs w:val="18"/>
        </w:rPr>
        <w:t>thénardite</w:t>
      </w:r>
      <w:proofErr w:type="spellEnd"/>
      <w:r w:rsidR="00FE2447" w:rsidRPr="00FE2447">
        <w:rPr>
          <w:sz w:val="18"/>
          <w:szCs w:val="18"/>
        </w:rPr>
        <w:t>), and (</w:t>
      </w:r>
      <w:r w:rsidR="00FE2447" w:rsidRPr="00FE2447">
        <w:rPr>
          <w:b/>
          <w:bCs/>
          <w:sz w:val="18"/>
          <w:szCs w:val="18"/>
        </w:rPr>
        <w:t>c</w:t>
      </w:r>
      <w:r w:rsidR="00FE2447" w:rsidRPr="00FE2447">
        <w:rPr>
          <w:sz w:val="18"/>
          <w:szCs w:val="18"/>
        </w:rPr>
        <w:t xml:space="preserve">) calcium sulphate </w:t>
      </w:r>
      <w:proofErr w:type="spellStart"/>
      <w:r w:rsidR="00FE2447" w:rsidRPr="00FE2447">
        <w:rPr>
          <w:sz w:val="18"/>
          <w:szCs w:val="18"/>
        </w:rPr>
        <w:t>dihydrate</w:t>
      </w:r>
      <w:proofErr w:type="spellEnd"/>
      <w:r w:rsidR="00FE2447" w:rsidRPr="00FE2447">
        <w:rPr>
          <w:sz w:val="18"/>
          <w:szCs w:val="18"/>
        </w:rPr>
        <w:t xml:space="preserve"> (gypsum).</w:t>
      </w:r>
    </w:p>
    <w:p w:rsidR="009B473F" w:rsidRDefault="00015876" w:rsidP="00FE2447">
      <w:pPr>
        <w:pStyle w:val="Tekstpodstawowy2"/>
        <w:spacing w:line="240" w:lineRule="auto"/>
        <w:ind w:left="357" w:hanging="357"/>
        <w:rPr>
          <w:i/>
          <w:sz w:val="18"/>
          <w:szCs w:val="18"/>
        </w:rPr>
      </w:pPr>
      <w:r>
        <w:rPr>
          <w:sz w:val="18"/>
          <w:szCs w:val="18"/>
        </w:rPr>
        <w:t xml:space="preserve">[1] </w:t>
      </w:r>
      <w:proofErr w:type="spellStart"/>
      <w:r>
        <w:rPr>
          <w:sz w:val="18"/>
          <w:szCs w:val="18"/>
        </w:rPr>
        <w:t>Izert-Nowakowska</w:t>
      </w:r>
      <w:proofErr w:type="spellEnd"/>
      <w:r w:rsidR="00C12D18">
        <w:rPr>
          <w:sz w:val="18"/>
          <w:szCs w:val="18"/>
        </w:rPr>
        <w:t>,</w:t>
      </w:r>
      <w:r>
        <w:rPr>
          <w:sz w:val="18"/>
          <w:szCs w:val="18"/>
        </w:rPr>
        <w:t xml:space="preserve"> M. et al. (2025). </w:t>
      </w:r>
      <w:r>
        <w:rPr>
          <w:i/>
          <w:sz w:val="18"/>
          <w:szCs w:val="18"/>
        </w:rPr>
        <w:t>EMBO Rep. (accepted).</w:t>
      </w:r>
    </w:p>
    <w:p w:rsidR="00015876" w:rsidRPr="00015876" w:rsidRDefault="00015876" w:rsidP="00FE2447">
      <w:pPr>
        <w:pStyle w:val="Tekstpodstawowy2"/>
        <w:spacing w:line="240" w:lineRule="auto"/>
        <w:ind w:left="357" w:hanging="357"/>
        <w:rPr>
          <w:sz w:val="18"/>
          <w:szCs w:val="18"/>
        </w:rPr>
      </w:pPr>
      <w:r>
        <w:rPr>
          <w:sz w:val="18"/>
          <w:szCs w:val="18"/>
        </w:rPr>
        <w:t xml:space="preserve">[2] </w:t>
      </w:r>
      <w:proofErr w:type="spellStart"/>
      <w:r w:rsidRPr="00FE2447">
        <w:rPr>
          <w:sz w:val="18"/>
          <w:szCs w:val="18"/>
        </w:rPr>
        <w:t>Figiel</w:t>
      </w:r>
      <w:proofErr w:type="spellEnd"/>
      <w:r w:rsidR="00C12D18">
        <w:rPr>
          <w:sz w:val="18"/>
          <w:szCs w:val="18"/>
        </w:rPr>
        <w:t>, M</w:t>
      </w:r>
      <w:r w:rsidRPr="00FE2447">
        <w:rPr>
          <w:sz w:val="18"/>
          <w:szCs w:val="18"/>
        </w:rPr>
        <w:t xml:space="preserve"> et al.</w:t>
      </w:r>
      <w:r>
        <w:rPr>
          <w:sz w:val="18"/>
          <w:szCs w:val="18"/>
        </w:rPr>
        <w:t xml:space="preserve"> (2022)</w:t>
      </w:r>
      <w:r w:rsidRPr="00FE2447">
        <w:rPr>
          <w:sz w:val="18"/>
          <w:szCs w:val="18"/>
        </w:rPr>
        <w:t xml:space="preserve">, </w:t>
      </w:r>
      <w:r w:rsidRPr="00FE2447">
        <w:rPr>
          <w:i/>
          <w:sz w:val="18"/>
          <w:szCs w:val="18"/>
        </w:rPr>
        <w:t xml:space="preserve">Nucleic Acids Res., </w:t>
      </w:r>
      <w:r>
        <w:rPr>
          <w:b/>
          <w:sz w:val="18"/>
          <w:szCs w:val="18"/>
        </w:rPr>
        <w:t xml:space="preserve">50(17), </w:t>
      </w:r>
      <w:r w:rsidRPr="00FE2447">
        <w:rPr>
          <w:sz w:val="18"/>
          <w:szCs w:val="18"/>
        </w:rPr>
        <w:t>10026 - 10040</w:t>
      </w:r>
    </w:p>
    <w:p w:rsidR="00796D36" w:rsidRPr="00FE2447" w:rsidRDefault="00015876" w:rsidP="00FE2447">
      <w:pPr>
        <w:pStyle w:val="Tekstpodstawowy2"/>
        <w:spacing w:line="240" w:lineRule="auto"/>
        <w:ind w:left="357" w:hanging="357"/>
        <w:rPr>
          <w:sz w:val="18"/>
          <w:szCs w:val="18"/>
        </w:rPr>
      </w:pPr>
      <w:r>
        <w:rPr>
          <w:sz w:val="18"/>
          <w:szCs w:val="18"/>
        </w:rPr>
        <w:t xml:space="preserve">[3] </w:t>
      </w:r>
      <w:proofErr w:type="spellStart"/>
      <w:r w:rsidR="00796D36" w:rsidRPr="00FE2447">
        <w:rPr>
          <w:sz w:val="18"/>
          <w:szCs w:val="18"/>
        </w:rPr>
        <w:t>Trzybiński</w:t>
      </w:r>
      <w:proofErr w:type="spellEnd"/>
      <w:r w:rsidR="00C12D18">
        <w:rPr>
          <w:sz w:val="18"/>
          <w:szCs w:val="18"/>
        </w:rPr>
        <w:t>, D.</w:t>
      </w:r>
      <w:r w:rsidR="00796D36" w:rsidRPr="00FE2447">
        <w:rPr>
          <w:sz w:val="18"/>
          <w:szCs w:val="18"/>
        </w:rPr>
        <w:t xml:space="preserve"> et al, </w:t>
      </w:r>
      <w:r>
        <w:rPr>
          <w:sz w:val="18"/>
          <w:szCs w:val="18"/>
        </w:rPr>
        <w:t xml:space="preserve">(2024). </w:t>
      </w:r>
      <w:r w:rsidR="00796D36" w:rsidRPr="00FE2447">
        <w:rPr>
          <w:i/>
          <w:iCs/>
          <w:sz w:val="18"/>
          <w:szCs w:val="18"/>
        </w:rPr>
        <w:t>Molecules</w:t>
      </w:r>
      <w:r w:rsidR="00796D36" w:rsidRPr="00FE2447">
        <w:rPr>
          <w:sz w:val="18"/>
          <w:szCs w:val="18"/>
        </w:rPr>
        <w:t xml:space="preserve">.,  </w:t>
      </w:r>
      <w:r w:rsidR="00796D36" w:rsidRPr="00FE2447">
        <w:rPr>
          <w:b/>
          <w:sz w:val="18"/>
          <w:szCs w:val="18"/>
        </w:rPr>
        <w:t>29(20)</w:t>
      </w:r>
      <w:r>
        <w:rPr>
          <w:b/>
          <w:sz w:val="18"/>
          <w:szCs w:val="18"/>
        </w:rPr>
        <w:t>,</w:t>
      </w:r>
      <w:r w:rsidR="00796D36" w:rsidRPr="00FE2447">
        <w:rPr>
          <w:sz w:val="18"/>
          <w:szCs w:val="18"/>
        </w:rPr>
        <w:t xml:space="preserve"> 4916</w:t>
      </w:r>
    </w:p>
    <w:p w:rsidR="00DA4854" w:rsidRPr="00377F01" w:rsidRDefault="00015876" w:rsidP="006536FA">
      <w:pPr>
        <w:pStyle w:val="Tekstpodstawowy2"/>
        <w:spacing w:line="240" w:lineRule="auto"/>
        <w:ind w:left="357" w:hanging="357"/>
        <w:rPr>
          <w:sz w:val="18"/>
          <w:szCs w:val="18"/>
        </w:rPr>
      </w:pPr>
      <w:r>
        <w:rPr>
          <w:sz w:val="18"/>
          <w:szCs w:val="18"/>
        </w:rPr>
        <w:t xml:space="preserve">[4] </w:t>
      </w:r>
      <w:r w:rsidR="00796D36" w:rsidRPr="00FE2447">
        <w:rPr>
          <w:sz w:val="18"/>
          <w:szCs w:val="18"/>
        </w:rPr>
        <w:t>Kumar</w:t>
      </w:r>
      <w:r w:rsidR="00C12D18">
        <w:rPr>
          <w:sz w:val="18"/>
          <w:szCs w:val="18"/>
        </w:rPr>
        <w:t>, A.</w:t>
      </w:r>
      <w:bookmarkStart w:id="0" w:name="_GoBack"/>
      <w:bookmarkEnd w:id="0"/>
      <w:r w:rsidR="00796D36" w:rsidRPr="00FE2447">
        <w:rPr>
          <w:sz w:val="18"/>
          <w:szCs w:val="18"/>
        </w:rPr>
        <w:t xml:space="preserve"> et al.,</w:t>
      </w:r>
      <w:r>
        <w:rPr>
          <w:sz w:val="18"/>
          <w:szCs w:val="18"/>
        </w:rPr>
        <w:t xml:space="preserve"> (2024).</w:t>
      </w:r>
      <w:r w:rsidR="00796D36" w:rsidRPr="00FE2447">
        <w:rPr>
          <w:sz w:val="18"/>
          <w:szCs w:val="18"/>
        </w:rPr>
        <w:t xml:space="preserve"> </w:t>
      </w:r>
      <w:proofErr w:type="spellStart"/>
      <w:r w:rsidR="00796D36" w:rsidRPr="00FE2447">
        <w:rPr>
          <w:i/>
          <w:sz w:val="18"/>
          <w:szCs w:val="18"/>
        </w:rPr>
        <w:t>Acta</w:t>
      </w:r>
      <w:proofErr w:type="spellEnd"/>
      <w:r w:rsidR="00796D36" w:rsidRPr="00FE2447">
        <w:rPr>
          <w:i/>
          <w:sz w:val="18"/>
          <w:szCs w:val="18"/>
        </w:rPr>
        <w:t xml:space="preserve"> </w:t>
      </w:r>
      <w:proofErr w:type="spellStart"/>
      <w:r w:rsidR="00796D36" w:rsidRPr="00FE2447">
        <w:rPr>
          <w:i/>
          <w:sz w:val="18"/>
          <w:szCs w:val="18"/>
        </w:rPr>
        <w:t>Crystallogr</w:t>
      </w:r>
      <w:proofErr w:type="spellEnd"/>
      <w:r w:rsidR="00796D36" w:rsidRPr="00FE2447">
        <w:rPr>
          <w:i/>
          <w:sz w:val="18"/>
          <w:szCs w:val="18"/>
        </w:rPr>
        <w:t xml:space="preserve"> C </w:t>
      </w:r>
      <w:proofErr w:type="spellStart"/>
      <w:r w:rsidR="00796D36" w:rsidRPr="00FE2447">
        <w:rPr>
          <w:i/>
          <w:sz w:val="18"/>
          <w:szCs w:val="18"/>
        </w:rPr>
        <w:t>Struct</w:t>
      </w:r>
      <w:proofErr w:type="spellEnd"/>
      <w:r w:rsidR="00796D36" w:rsidRPr="00FE2447">
        <w:rPr>
          <w:i/>
          <w:sz w:val="18"/>
          <w:szCs w:val="18"/>
        </w:rPr>
        <w:t xml:space="preserve"> </w:t>
      </w:r>
      <w:proofErr w:type="spellStart"/>
      <w:r w:rsidR="00796D36" w:rsidRPr="00FE2447">
        <w:rPr>
          <w:i/>
          <w:sz w:val="18"/>
          <w:szCs w:val="18"/>
        </w:rPr>
        <w:t>Chem</w:t>
      </w:r>
      <w:proofErr w:type="spellEnd"/>
      <w:r w:rsidR="00796D36" w:rsidRPr="00FE2447">
        <w:rPr>
          <w:i/>
          <w:sz w:val="18"/>
          <w:szCs w:val="18"/>
        </w:rPr>
        <w:t xml:space="preserve">, </w:t>
      </w:r>
      <w:r>
        <w:rPr>
          <w:b/>
          <w:sz w:val="18"/>
          <w:szCs w:val="18"/>
        </w:rPr>
        <w:t>80,</w:t>
      </w:r>
      <w:r w:rsidR="00796D36" w:rsidRPr="00FE2447">
        <w:rPr>
          <w:sz w:val="18"/>
          <w:szCs w:val="18"/>
        </w:rPr>
        <w:t xml:space="preserve"> 264-277</w:t>
      </w:r>
    </w:p>
    <w:sectPr w:rsidR="00DA4854" w:rsidRPr="00377F01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98D" w:rsidRDefault="0089098D">
      <w:pPr>
        <w:spacing w:after="0"/>
      </w:pPr>
      <w:r>
        <w:separator/>
      </w:r>
    </w:p>
  </w:endnote>
  <w:endnote w:type="continuationSeparator" w:id="0">
    <w:p w:rsidR="0089098D" w:rsidRDefault="008909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854" w:rsidRDefault="00456A41">
    <w:pPr>
      <w:pStyle w:val="Stopka"/>
    </w:pPr>
    <w:proofErr w:type="spellStart"/>
    <w:r>
      <w:t>Acta</w:t>
    </w:r>
    <w:proofErr w:type="spellEnd"/>
    <w:r>
      <w:t xml:space="preserve"> </w:t>
    </w:r>
    <w:proofErr w:type="spellStart"/>
    <w:r>
      <w:t>Cryst</w:t>
    </w:r>
    <w:proofErr w:type="spellEnd"/>
    <w:r>
      <w:t>. (2025). A81, e1</w:t>
    </w:r>
  </w:p>
  <w:p w:rsidR="00DA4854" w:rsidRDefault="00DA4854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98D" w:rsidRDefault="0089098D">
      <w:pPr>
        <w:spacing w:after="0"/>
      </w:pPr>
      <w:r>
        <w:separator/>
      </w:r>
    </w:p>
  </w:footnote>
  <w:footnote w:type="continuationSeparator" w:id="0">
    <w:p w:rsidR="0089098D" w:rsidRDefault="008909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854" w:rsidRDefault="00456A41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54"/>
    <w:rsid w:val="00015876"/>
    <w:rsid w:val="00037568"/>
    <w:rsid w:val="002A0443"/>
    <w:rsid w:val="00377F01"/>
    <w:rsid w:val="00425415"/>
    <w:rsid w:val="00456A41"/>
    <w:rsid w:val="00581360"/>
    <w:rsid w:val="006536FA"/>
    <w:rsid w:val="00705576"/>
    <w:rsid w:val="00796D36"/>
    <w:rsid w:val="0089098D"/>
    <w:rsid w:val="009B473F"/>
    <w:rsid w:val="00C12D18"/>
    <w:rsid w:val="00C7007D"/>
    <w:rsid w:val="00DA4854"/>
    <w:rsid w:val="00F34C8E"/>
    <w:rsid w:val="00FE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4126"/>
  <w15:docId w15:val="{6A46F5A9-22A2-47C8-B165-892CBE02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275"/>
    <w:pPr>
      <w:spacing w:after="120"/>
      <w:jc w:val="both"/>
    </w:pPr>
    <w:rPr>
      <w:lang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796D36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96D36"/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6CB9B-3D53-42B9-B2ED-7AF79120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Tomasz Góral</cp:lastModifiedBy>
  <cp:revision>12</cp:revision>
  <dcterms:created xsi:type="dcterms:W3CDTF">2025-04-29T12:57:00Z</dcterms:created>
  <dcterms:modified xsi:type="dcterms:W3CDTF">2025-05-05T09:16:00Z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