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2A78" w:rsidRDefault="00E272F4">
      <w:pPr>
        <w:pStyle w:val="Ttulo1"/>
      </w:pPr>
      <w:r>
        <w:t xml:space="preserve">Molecular Heterometallic Clusters Enable Precise Integration of Mixed-Metal </w:t>
      </w:r>
      <w:proofErr w:type="spellStart"/>
      <w:r>
        <w:t>Centers</w:t>
      </w:r>
      <w:proofErr w:type="spellEnd"/>
      <w:r>
        <w:t xml:space="preserve"> into Metal-organic Frameworks </w:t>
      </w:r>
    </w:p>
    <w:p w:rsidR="00C82A78" w:rsidRDefault="00F926F1">
      <w:pPr>
        <w:pStyle w:val="Ttulo2"/>
      </w:pPr>
      <w:r w:rsidRPr="00F926F1">
        <w:t>C. López</w:t>
      </w:r>
      <w:r w:rsidRPr="00F926F1">
        <w:rPr>
          <w:rFonts w:ascii="Cambria Math" w:hAnsi="Cambria Math" w:cs="Cambria Math"/>
        </w:rPr>
        <w:t>‐</w:t>
      </w:r>
      <w:r w:rsidRPr="00F926F1">
        <w:t>García</w:t>
      </w:r>
      <w:r>
        <w:rPr>
          <w:vertAlign w:val="superscript"/>
        </w:rPr>
        <w:t>1</w:t>
      </w:r>
      <w:r>
        <w:t xml:space="preserve">, </w:t>
      </w:r>
      <w:r w:rsidR="00B86273" w:rsidRPr="00B86273">
        <w:t>A. A. Skorynina</w:t>
      </w:r>
      <w:r w:rsidR="00B86273" w:rsidRPr="00B86273">
        <w:rPr>
          <w:vertAlign w:val="superscript"/>
        </w:rPr>
        <w:t>2</w:t>
      </w:r>
      <w:r w:rsidR="00B86273">
        <w:t xml:space="preserve">, </w:t>
      </w:r>
      <w:r w:rsidRPr="00F926F1">
        <w:t>F. Esteban</w:t>
      </w:r>
      <w:r w:rsidRPr="00F926F1">
        <w:rPr>
          <w:rFonts w:ascii="Cambria Math" w:hAnsi="Cambria Math" w:cs="Cambria Math"/>
        </w:rPr>
        <w:t>‐</w:t>
      </w:r>
      <w:r w:rsidRPr="00F926F1">
        <w:t>Betegón</w:t>
      </w:r>
      <w:r>
        <w:rPr>
          <w:vertAlign w:val="superscript"/>
        </w:rPr>
        <w:t>1</w:t>
      </w:r>
      <w:r>
        <w:t xml:space="preserve">, </w:t>
      </w:r>
      <w:r w:rsidRPr="00F926F1">
        <w:t>J. Pérez</w:t>
      </w:r>
      <w:r w:rsidRPr="00F926F1">
        <w:rPr>
          <w:rFonts w:ascii="Cambria Math" w:hAnsi="Cambria Math" w:cs="Cambria Math"/>
        </w:rPr>
        <w:t>‐</w:t>
      </w:r>
      <w:r w:rsidRPr="00F926F1">
        <w:t>Carvajal</w:t>
      </w:r>
      <w:r w:rsidRPr="00F926F1">
        <w:rPr>
          <w:vertAlign w:val="superscript"/>
        </w:rPr>
        <w:t>1</w:t>
      </w:r>
      <w:r>
        <w:t xml:space="preserve">, </w:t>
      </w:r>
      <w:r w:rsidRPr="00F926F1">
        <w:t>M. Iglesias</w:t>
      </w:r>
      <w:r>
        <w:rPr>
          <w:vertAlign w:val="superscript"/>
        </w:rPr>
        <w:t>1</w:t>
      </w:r>
      <w:r>
        <w:t xml:space="preserve">, </w:t>
      </w:r>
      <w:r w:rsidRPr="00F926F1">
        <w:t>M. A. Monge</w:t>
      </w:r>
      <w:r>
        <w:rPr>
          <w:vertAlign w:val="superscript"/>
        </w:rPr>
        <w:t>1</w:t>
      </w:r>
      <w:r w:rsidRPr="00F926F1">
        <w:t>, E. Gutiérrez</w:t>
      </w:r>
      <w:r w:rsidRPr="00F926F1">
        <w:rPr>
          <w:rFonts w:ascii="Cambria Math" w:hAnsi="Cambria Math" w:cs="Cambria Math"/>
        </w:rPr>
        <w:t>‐</w:t>
      </w:r>
      <w:r w:rsidRPr="00F926F1">
        <w:t>Puebla</w:t>
      </w:r>
      <w:r>
        <w:rPr>
          <w:vertAlign w:val="superscript"/>
        </w:rPr>
        <w:t>1</w:t>
      </w:r>
      <w:r w:rsidRPr="00F926F1">
        <w:t>, F. Gándara</w:t>
      </w:r>
      <w:r>
        <w:rPr>
          <w:vertAlign w:val="superscript"/>
        </w:rPr>
        <w:t>1</w:t>
      </w:r>
    </w:p>
    <w:p w:rsidR="00F926F1" w:rsidRDefault="00000000" w:rsidP="00F926F1">
      <w:pPr>
        <w:pStyle w:val="Ttulo3"/>
      </w:pPr>
      <w:r>
        <w:rPr>
          <w:vertAlign w:val="superscript"/>
        </w:rPr>
        <w:t>1</w:t>
      </w:r>
      <w:r w:rsidR="00F926F1">
        <w:t>Materials Science Institute of Madrid (ICMM) – Spanish National Research Council (CSIC)</w:t>
      </w:r>
    </w:p>
    <w:p w:rsidR="00C82A78" w:rsidRDefault="00F926F1" w:rsidP="00F926F1">
      <w:pPr>
        <w:pStyle w:val="Ttulo3"/>
      </w:pPr>
      <w:r>
        <w:t xml:space="preserve">Sor Juana Inés de la Cruz, 3, 28049, Madrid, Spain, </w:t>
      </w:r>
      <w:r w:rsidR="00B86273" w:rsidRPr="00B86273">
        <w:rPr>
          <w:vertAlign w:val="superscript"/>
        </w:rPr>
        <w:t>2</w:t>
      </w:r>
      <w:r w:rsidR="00B86273">
        <w:rPr>
          <w:vertAlign w:val="superscript"/>
        </w:rPr>
        <w:t xml:space="preserve"> </w:t>
      </w:r>
      <w:r w:rsidR="00B86273" w:rsidRPr="00B86273">
        <w:t>CELLS-ALBA Synchrotron</w:t>
      </w:r>
      <w:r w:rsidR="00B86273">
        <w:t xml:space="preserve"> </w:t>
      </w:r>
      <w:r w:rsidR="00B86273" w:rsidRPr="00B86273">
        <w:t xml:space="preserve">Carrer de la Llum 2-26, </w:t>
      </w:r>
      <w:proofErr w:type="spellStart"/>
      <w:r w:rsidR="00B86273" w:rsidRPr="00B86273">
        <w:t>Cerdanyola</w:t>
      </w:r>
      <w:proofErr w:type="spellEnd"/>
      <w:r w:rsidR="00B86273" w:rsidRPr="00B86273">
        <w:t xml:space="preserve"> del </w:t>
      </w:r>
      <w:proofErr w:type="spellStart"/>
      <w:r w:rsidR="00B86273" w:rsidRPr="00B86273">
        <w:t>Vallès</w:t>
      </w:r>
      <w:proofErr w:type="spellEnd"/>
      <w:r w:rsidR="00B86273" w:rsidRPr="00B86273">
        <w:t>, 08290 Barcelona, Spain</w:t>
      </w:r>
    </w:p>
    <w:p w:rsidR="00C82A78" w:rsidRDefault="00F926F1">
      <w:pPr>
        <w:pStyle w:val="Ttulo3"/>
        <w:rPr>
          <w:sz w:val="18"/>
          <w:szCs w:val="18"/>
        </w:rPr>
      </w:pPr>
      <w:r>
        <w:t>f.gandara@csic.es</w:t>
      </w:r>
      <w:r>
        <w:rPr>
          <w:lang w:eastAsia="de-DE"/>
        </w:rPr>
        <w:br/>
      </w:r>
    </w:p>
    <w:p w:rsidR="00F150C2" w:rsidRPr="007C28BA" w:rsidRDefault="00F150C2" w:rsidP="00F150C2">
      <w:pPr>
        <w:rPr>
          <w:lang w:val="en-US"/>
        </w:rPr>
      </w:pPr>
      <w:r w:rsidRPr="007C28BA">
        <w:rPr>
          <w:lang w:val="en-US"/>
        </w:rPr>
        <w:t xml:space="preserve">The controlled incorporation of selected combinations of different metal elements into metal-organic frameworks (MOFs) remains a challenge. </w:t>
      </w:r>
      <w:r w:rsidR="002B1693" w:rsidRPr="007C28BA">
        <w:rPr>
          <w:lang w:val="en-US"/>
        </w:rPr>
        <w:t xml:space="preserve">Recently, we have </w:t>
      </w:r>
      <w:r w:rsidR="00EC253A" w:rsidRPr="007C28BA">
        <w:rPr>
          <w:lang w:val="en-US"/>
        </w:rPr>
        <w:t>reported</w:t>
      </w:r>
      <w:r w:rsidR="002B1693" w:rsidRPr="007C28BA">
        <w:rPr>
          <w:lang w:val="en-US"/>
        </w:rPr>
        <w:t xml:space="preserve"> </w:t>
      </w:r>
      <w:r w:rsidRPr="007C28BA">
        <w:rPr>
          <w:lang w:val="en-US"/>
        </w:rPr>
        <w:t xml:space="preserve">a versatile one‐pot synthetic strategy that exploits </w:t>
      </w:r>
      <w:r w:rsidR="007C28BA">
        <w:rPr>
          <w:lang w:val="en-US"/>
        </w:rPr>
        <w:t xml:space="preserve">the use of </w:t>
      </w:r>
      <w:r w:rsidRPr="007C28BA">
        <w:rPr>
          <w:lang w:val="en-US"/>
        </w:rPr>
        <w:t>heterometallic molecular clusters as “messenger building units” (</w:t>
      </w:r>
      <w:proofErr w:type="spellStart"/>
      <w:r w:rsidRPr="007C28BA">
        <w:rPr>
          <w:i/>
          <w:iCs/>
          <w:lang w:val="en-US"/>
        </w:rPr>
        <w:t>m</w:t>
      </w:r>
      <w:r w:rsidRPr="007C28BA">
        <w:rPr>
          <w:lang w:val="en-US"/>
        </w:rPr>
        <w:t>BUs</w:t>
      </w:r>
      <w:proofErr w:type="spellEnd"/>
      <w:r w:rsidRPr="007C28BA">
        <w:rPr>
          <w:lang w:val="en-US"/>
        </w:rPr>
        <w:t>) to achieve atomic‐level control over metal‐organic framework (MOF) architectures and their emergent material properties</w:t>
      </w:r>
      <w:r w:rsidR="00EC253A" w:rsidRPr="007C28BA">
        <w:rPr>
          <w:lang w:val="en-US"/>
        </w:rPr>
        <w:t xml:space="preserve"> [1, 2]</w:t>
      </w:r>
      <w:r w:rsidRPr="007C28BA">
        <w:rPr>
          <w:lang w:val="en-US"/>
        </w:rPr>
        <w:t xml:space="preserve">. By pre‐assembling </w:t>
      </w:r>
      <w:r w:rsidR="007C28BA">
        <w:rPr>
          <w:lang w:val="en-US"/>
        </w:rPr>
        <w:t xml:space="preserve">the heterometallic wheel-shape </w:t>
      </w:r>
      <w:r w:rsidR="00EC253A" w:rsidRPr="007C28BA">
        <w:rPr>
          <w:lang w:val="en-US"/>
        </w:rPr>
        <w:t>[</w:t>
      </w:r>
      <w:r w:rsidRPr="007C28BA">
        <w:rPr>
          <w:lang w:val="en-US"/>
        </w:rPr>
        <w:t>Ga</w:t>
      </w:r>
      <w:r w:rsidRPr="007C28BA">
        <w:rPr>
          <w:vertAlign w:val="subscript"/>
          <w:lang w:val="en-US"/>
        </w:rPr>
        <w:t>7</w:t>
      </w:r>
      <w:r w:rsidRPr="007C28BA">
        <w:rPr>
          <w:lang w:val="en-US"/>
        </w:rPr>
        <w:t>M</w:t>
      </w:r>
      <w:r w:rsidR="00292B9E" w:rsidRPr="007C28BA">
        <w:rPr>
          <w:lang w:val="en-US"/>
        </w:rPr>
        <w:t>F</w:t>
      </w:r>
      <w:r w:rsidR="00292B9E" w:rsidRPr="007C28BA">
        <w:rPr>
          <w:vertAlign w:val="subscript"/>
          <w:lang w:val="en-US"/>
        </w:rPr>
        <w:t>8</w:t>
      </w:r>
      <w:r w:rsidR="00292B9E" w:rsidRPr="007C28BA">
        <w:rPr>
          <w:lang w:val="en-US"/>
        </w:rPr>
        <w:t>(</w:t>
      </w:r>
      <w:proofErr w:type="spellStart"/>
      <w:r w:rsidR="00292B9E" w:rsidRPr="007C28BA">
        <w:rPr>
          <w:lang w:val="en-US"/>
        </w:rPr>
        <w:t>PivO</w:t>
      </w:r>
      <w:proofErr w:type="spellEnd"/>
      <w:r w:rsidR="00292B9E" w:rsidRPr="007C28BA">
        <w:rPr>
          <w:lang w:val="en-US"/>
        </w:rPr>
        <w:t>)</w:t>
      </w:r>
      <w:r w:rsidR="00292B9E" w:rsidRPr="007C28BA">
        <w:rPr>
          <w:vertAlign w:val="subscript"/>
          <w:lang w:val="en-US"/>
        </w:rPr>
        <w:t>16</w:t>
      </w:r>
      <w:r w:rsidR="00EC253A" w:rsidRPr="007C28BA">
        <w:rPr>
          <w:lang w:val="en-US"/>
        </w:rPr>
        <w:t>]</w:t>
      </w:r>
      <w:r w:rsidRPr="007C28BA">
        <w:rPr>
          <w:lang w:val="en-US"/>
        </w:rPr>
        <w:t xml:space="preserve"> (</w:t>
      </w:r>
      <w:proofErr w:type="spellStart"/>
      <w:r w:rsidR="00EC253A" w:rsidRPr="007C28BA">
        <w:rPr>
          <w:lang w:val="en-US"/>
        </w:rPr>
        <w:t>Piv</w:t>
      </w:r>
      <w:proofErr w:type="spellEnd"/>
      <w:r w:rsidR="00EC253A" w:rsidRPr="007C28BA">
        <w:rPr>
          <w:lang w:val="en-US"/>
        </w:rPr>
        <w:t xml:space="preserve"> = (CH</w:t>
      </w:r>
      <w:r w:rsidR="00EC253A" w:rsidRPr="007C28BA">
        <w:rPr>
          <w:vertAlign w:val="subscript"/>
          <w:lang w:val="en-US"/>
        </w:rPr>
        <w:t>3</w:t>
      </w:r>
      <w:r w:rsidR="00EC253A" w:rsidRPr="007C28BA">
        <w:rPr>
          <w:lang w:val="en-US"/>
        </w:rPr>
        <w:t>)</w:t>
      </w:r>
      <w:r w:rsidR="00EC253A" w:rsidRPr="007C28BA">
        <w:rPr>
          <w:vertAlign w:val="subscript"/>
          <w:lang w:val="en-US"/>
        </w:rPr>
        <w:t>3</w:t>
      </w:r>
      <w:r w:rsidR="00EC253A" w:rsidRPr="007C28BA">
        <w:rPr>
          <w:lang w:val="en-US"/>
        </w:rPr>
        <w:t xml:space="preserve">CCOO, </w:t>
      </w:r>
      <w:r w:rsidRPr="007C28BA">
        <w:rPr>
          <w:lang w:val="en-US"/>
        </w:rPr>
        <w:t>M = Ni, Co) molecular clusters and coupling them with organic linkers of varying connectivity— 2,6-naphthalene dicarboxylic acid, (2,6-</w:t>
      </w:r>
      <w:proofErr w:type="gramStart"/>
      <w:r w:rsidRPr="007C28BA">
        <w:rPr>
          <w:lang w:val="en-US"/>
        </w:rPr>
        <w:t>NDC)  1</w:t>
      </w:r>
      <w:proofErr w:type="gramEnd"/>
      <w:r w:rsidRPr="007C28BA">
        <w:rPr>
          <w:lang w:val="en-US"/>
        </w:rPr>
        <w:t>,3,5</w:t>
      </w:r>
      <w:r w:rsidRPr="007C28BA">
        <w:rPr>
          <w:lang w:val="en-US"/>
        </w:rPr>
        <w:noBreakHyphen/>
        <w:t>tris(4</w:t>
      </w:r>
      <w:r w:rsidRPr="007C28BA">
        <w:rPr>
          <w:lang w:val="en-US"/>
        </w:rPr>
        <w:noBreakHyphen/>
      </w:r>
      <w:proofErr w:type="gramStart"/>
      <w:r w:rsidRPr="007C28BA">
        <w:rPr>
          <w:lang w:val="en-US"/>
        </w:rPr>
        <w:t>carboxyphenyl)benzene</w:t>
      </w:r>
      <w:proofErr w:type="gramEnd"/>
      <w:r w:rsidRPr="007C28BA">
        <w:rPr>
          <w:lang w:val="en-US"/>
        </w:rPr>
        <w:t xml:space="preserve"> (H</w:t>
      </w:r>
      <w:r w:rsidRPr="007C28BA">
        <w:rPr>
          <w:vertAlign w:val="subscript"/>
          <w:lang w:val="en-US"/>
        </w:rPr>
        <w:t>3</w:t>
      </w:r>
      <w:r w:rsidRPr="007C28BA">
        <w:rPr>
          <w:lang w:val="en-US"/>
        </w:rPr>
        <w:t xml:space="preserve">BTB) and </w:t>
      </w:r>
      <w:proofErr w:type="spellStart"/>
      <w:r w:rsidRPr="007C28BA">
        <w:rPr>
          <w:lang w:val="en-US"/>
        </w:rPr>
        <w:t>tetrakis</w:t>
      </w:r>
      <w:proofErr w:type="spellEnd"/>
      <w:r w:rsidRPr="007C28BA">
        <w:rPr>
          <w:lang w:val="en-US"/>
        </w:rPr>
        <w:t>(4</w:t>
      </w:r>
      <w:r w:rsidRPr="007C28BA">
        <w:rPr>
          <w:lang w:val="en-US"/>
        </w:rPr>
        <w:noBreakHyphen/>
      </w:r>
      <w:proofErr w:type="gramStart"/>
      <w:r w:rsidRPr="007C28BA">
        <w:rPr>
          <w:lang w:val="en-US"/>
        </w:rPr>
        <w:t>carboxyphenyl)porphyrin</w:t>
      </w:r>
      <w:proofErr w:type="gramEnd"/>
      <w:r w:rsidRPr="007C28BA">
        <w:rPr>
          <w:lang w:val="en-US"/>
        </w:rPr>
        <w:t xml:space="preserve"> (H</w:t>
      </w:r>
      <w:r w:rsidRPr="007C28BA">
        <w:rPr>
          <w:vertAlign w:val="subscript"/>
          <w:lang w:val="en-US"/>
        </w:rPr>
        <w:t>6</w:t>
      </w:r>
      <w:r w:rsidRPr="007C28BA">
        <w:rPr>
          <w:lang w:val="en-US"/>
        </w:rPr>
        <w:t xml:space="preserve">TCPP)—we direct the formation of porous frameworks with </w:t>
      </w:r>
      <w:proofErr w:type="spellStart"/>
      <w:r w:rsidRPr="007C28BA">
        <w:rPr>
          <w:b/>
          <w:bCs/>
          <w:lang w:val="en-US"/>
        </w:rPr>
        <w:t>sra</w:t>
      </w:r>
      <w:proofErr w:type="spellEnd"/>
      <w:r w:rsidRPr="007C28BA">
        <w:rPr>
          <w:lang w:val="en-US"/>
        </w:rPr>
        <w:t xml:space="preserve">, </w:t>
      </w:r>
      <w:r w:rsidRPr="007C28BA">
        <w:rPr>
          <w:b/>
          <w:bCs/>
          <w:lang w:val="en-US"/>
        </w:rPr>
        <w:t>sit</w:t>
      </w:r>
      <w:r w:rsidRPr="007C28BA">
        <w:rPr>
          <w:lang w:val="en-US"/>
        </w:rPr>
        <w:t xml:space="preserve"> and </w:t>
      </w:r>
      <w:r w:rsidRPr="007C28BA">
        <w:rPr>
          <w:b/>
          <w:bCs/>
          <w:lang w:val="en-US"/>
        </w:rPr>
        <w:t>fry</w:t>
      </w:r>
      <w:r w:rsidRPr="007C28BA">
        <w:rPr>
          <w:lang w:val="en-US"/>
        </w:rPr>
        <w:t xml:space="preserve"> topologies, respectively. Single‐crystal and po</w:t>
      </w:r>
      <w:r w:rsidR="007C28BA">
        <w:rPr>
          <w:lang w:val="en-US"/>
        </w:rPr>
        <w:t>w</w:t>
      </w:r>
      <w:r w:rsidRPr="007C28BA">
        <w:rPr>
          <w:lang w:val="en-US"/>
        </w:rPr>
        <w:t>der X</w:t>
      </w:r>
      <w:r w:rsidRPr="007C28BA">
        <w:rPr>
          <w:lang w:val="en-US"/>
        </w:rPr>
        <w:noBreakHyphen/>
        <w:t>ray diffraction, X</w:t>
      </w:r>
      <w:r w:rsidRPr="007C28BA">
        <w:rPr>
          <w:lang w:val="en-US"/>
        </w:rPr>
        <w:noBreakHyphen/>
        <w:t>ray absorption spectroscopies, and electron microscopy confirm the faithful translation of the intended bimetallic combinations into the secondary building units</w:t>
      </w:r>
      <w:r w:rsidR="00EC253A" w:rsidRPr="007C28BA">
        <w:rPr>
          <w:lang w:val="en-US"/>
        </w:rPr>
        <w:t xml:space="preserve"> (SBUs)</w:t>
      </w:r>
      <w:r w:rsidRPr="007C28BA">
        <w:rPr>
          <w:lang w:val="en-US"/>
        </w:rPr>
        <w:t xml:space="preserve"> of the MOFs, while gas sorption analyses reveal tunable porosity arising from topology and linker choice</w:t>
      </w:r>
      <w:r w:rsidR="00F926F1" w:rsidRPr="007C28BA">
        <w:rPr>
          <w:lang w:val="en-US"/>
        </w:rPr>
        <w:t>, in some cases resulting in flexible frameworks that exhibit single-crystal transformations.</w:t>
      </w:r>
      <w:r w:rsidRPr="007C28BA">
        <w:rPr>
          <w:lang w:val="en-US"/>
        </w:rPr>
        <w:t xml:space="preserve"> Furthermore, we demonstrate how molecular‐scale design translates into catalytic function by embedding the selected multi-metal MOFs into alginate bead composites, which act as efficient heterogeneous photocatalysts displaying enhanced activity and selectivity relative to single</w:t>
      </w:r>
      <w:r w:rsidRPr="007C28BA">
        <w:rPr>
          <w:lang w:val="en-US"/>
        </w:rPr>
        <w:noBreakHyphen/>
        <w:t>metal analogues.</w:t>
      </w:r>
    </w:p>
    <w:p w:rsidR="00220D8F" w:rsidRDefault="00222803" w:rsidP="00B86273">
      <w:pPr>
        <w:pStyle w:val="Acknowledgement"/>
        <w:rPr>
          <w:lang w:val="es-ES_tradnl"/>
        </w:rPr>
      </w:pPr>
      <w:proofErr w:type="spellStart"/>
      <w:r>
        <w:rPr>
          <w:lang w:val="es-ES_tradnl"/>
        </w:rPr>
        <w:t>Fi</w:t>
      </w:r>
      <w:r w:rsidRPr="00222803">
        <w:rPr>
          <w:lang w:val="es-ES_tradnl"/>
        </w:rPr>
        <w:t>nancial</w:t>
      </w:r>
      <w:proofErr w:type="spellEnd"/>
      <w:r w:rsidRPr="00222803">
        <w:rPr>
          <w:lang w:val="es-ES_tradnl"/>
        </w:rPr>
        <w:t xml:space="preserve"> </w:t>
      </w:r>
      <w:proofErr w:type="spellStart"/>
      <w:r w:rsidRPr="00222803">
        <w:rPr>
          <w:lang w:val="es-ES_tradnl"/>
        </w:rPr>
        <w:t>support</w:t>
      </w:r>
      <w:proofErr w:type="spellEnd"/>
      <w:r w:rsidRPr="00222803">
        <w:rPr>
          <w:lang w:val="es-ES_tradnl"/>
        </w:rPr>
        <w:t xml:space="preserve"> </w:t>
      </w:r>
      <w:proofErr w:type="spellStart"/>
      <w:r w:rsidRPr="00222803">
        <w:rPr>
          <w:lang w:val="es-ES_tradnl"/>
        </w:rPr>
        <w:t>through</w:t>
      </w:r>
      <w:proofErr w:type="spellEnd"/>
      <w:r w:rsidRPr="00222803">
        <w:rPr>
          <w:lang w:val="es-ES_tradnl"/>
        </w:rPr>
        <w:t xml:space="preserve"> PID2021-123287OB-I00 </w:t>
      </w:r>
      <w:proofErr w:type="spellStart"/>
      <w:r w:rsidRPr="00222803">
        <w:rPr>
          <w:lang w:val="es-ES_tradnl"/>
        </w:rPr>
        <w:t>funded</w:t>
      </w:r>
      <w:proofErr w:type="spellEnd"/>
      <w:r w:rsidRPr="00222803">
        <w:rPr>
          <w:lang w:val="es-ES_tradnl"/>
        </w:rPr>
        <w:t xml:space="preserve"> </w:t>
      </w:r>
      <w:proofErr w:type="spellStart"/>
      <w:r w:rsidRPr="00222803">
        <w:rPr>
          <w:lang w:val="es-ES_tradnl"/>
        </w:rPr>
        <w:t>by</w:t>
      </w:r>
      <w:proofErr w:type="spellEnd"/>
      <w:r w:rsidRPr="00222803">
        <w:rPr>
          <w:lang w:val="es-ES_tradnl"/>
        </w:rPr>
        <w:t xml:space="preserve"> MCIN/AEI/10.13039/501100011033</w:t>
      </w:r>
      <w:r>
        <w:rPr>
          <w:lang w:val="es-ES_tradnl"/>
        </w:rPr>
        <w:t xml:space="preserve"> </w:t>
      </w:r>
      <w:proofErr w:type="spellStart"/>
      <w:r>
        <w:rPr>
          <w:lang w:val="es-ES_tradnl"/>
        </w:rPr>
        <w:t>is</w:t>
      </w:r>
      <w:proofErr w:type="spellEnd"/>
      <w:r>
        <w:rPr>
          <w:lang w:val="es-ES_tradnl"/>
        </w:rPr>
        <w:t xml:space="preserve"> </w:t>
      </w:r>
      <w:proofErr w:type="spellStart"/>
      <w:r>
        <w:rPr>
          <w:lang w:val="es-ES_tradnl"/>
        </w:rPr>
        <w:t>acknowledged</w:t>
      </w:r>
      <w:proofErr w:type="spellEnd"/>
      <w:r w:rsidR="00F926F1">
        <w:rPr>
          <w:lang w:val="es-ES_tradnl"/>
        </w:rPr>
        <w:t>.</w:t>
      </w:r>
      <w:r w:rsidRPr="00222803">
        <w:rPr>
          <w:lang w:val="es-ES_tradnl"/>
        </w:rPr>
        <w:t xml:space="preserve"> </w:t>
      </w:r>
      <w:proofErr w:type="spellStart"/>
      <w:r w:rsidR="00B86273">
        <w:rPr>
          <w:lang w:val="es-ES_tradnl"/>
        </w:rPr>
        <w:t>Beamtime</w:t>
      </w:r>
      <w:proofErr w:type="spellEnd"/>
      <w:r w:rsidR="00B86273">
        <w:rPr>
          <w:lang w:val="es-ES_tradnl"/>
        </w:rPr>
        <w:t xml:space="preserve"> at </w:t>
      </w:r>
      <w:r w:rsidR="00B86273" w:rsidRPr="00B86273">
        <w:rPr>
          <w:lang w:val="es-ES_tradnl"/>
        </w:rPr>
        <w:t xml:space="preserve">BL22-CLAESS at </w:t>
      </w:r>
      <w:proofErr w:type="spellStart"/>
      <w:r w:rsidR="00B86273" w:rsidRPr="00B86273">
        <w:rPr>
          <w:lang w:val="es-ES_tradnl"/>
        </w:rPr>
        <w:t>the</w:t>
      </w:r>
      <w:proofErr w:type="spellEnd"/>
      <w:r w:rsidR="00B86273" w:rsidRPr="00B86273">
        <w:rPr>
          <w:lang w:val="es-ES_tradnl"/>
        </w:rPr>
        <w:t xml:space="preserve"> ALBA </w:t>
      </w:r>
      <w:proofErr w:type="spellStart"/>
      <w:r w:rsidR="00B86273" w:rsidRPr="00B86273">
        <w:rPr>
          <w:lang w:val="es-ES_tradnl"/>
        </w:rPr>
        <w:t>synchrotron</w:t>
      </w:r>
      <w:proofErr w:type="spellEnd"/>
      <w:r w:rsidR="00B86273" w:rsidRPr="00B86273">
        <w:rPr>
          <w:lang w:val="es-ES_tradnl"/>
        </w:rPr>
        <w:t xml:space="preserve"> </w:t>
      </w:r>
      <w:proofErr w:type="spellStart"/>
      <w:r w:rsidR="00B86273" w:rsidRPr="00B86273">
        <w:rPr>
          <w:lang w:val="es-ES_tradnl"/>
        </w:rPr>
        <w:t>under</w:t>
      </w:r>
      <w:proofErr w:type="spellEnd"/>
      <w:r w:rsidR="00B86273" w:rsidRPr="00B86273">
        <w:rPr>
          <w:lang w:val="es-ES_tradnl"/>
        </w:rPr>
        <w:t xml:space="preserve"> </w:t>
      </w:r>
      <w:proofErr w:type="spellStart"/>
      <w:r w:rsidR="00B86273" w:rsidRPr="00B86273">
        <w:rPr>
          <w:lang w:val="es-ES_tradnl"/>
        </w:rPr>
        <w:t>experiment</w:t>
      </w:r>
      <w:proofErr w:type="spellEnd"/>
      <w:r w:rsidR="00B86273" w:rsidRPr="00B86273">
        <w:rPr>
          <w:lang w:val="es-ES_tradnl"/>
        </w:rPr>
        <w:t xml:space="preserve"> </w:t>
      </w:r>
      <w:proofErr w:type="spellStart"/>
      <w:r w:rsidR="00B86273" w:rsidRPr="00B86273">
        <w:rPr>
          <w:lang w:val="es-ES_tradnl"/>
        </w:rPr>
        <w:t>number</w:t>
      </w:r>
      <w:proofErr w:type="spellEnd"/>
      <w:r w:rsidR="00B86273" w:rsidRPr="00B86273">
        <w:rPr>
          <w:lang w:val="es-ES_tradnl"/>
        </w:rPr>
        <w:t xml:space="preserve"> 2024028252</w:t>
      </w:r>
      <w:r w:rsidR="00B86273">
        <w:rPr>
          <w:lang w:val="es-ES_tradnl"/>
        </w:rPr>
        <w:t xml:space="preserve"> </w:t>
      </w:r>
      <w:proofErr w:type="spellStart"/>
      <w:r w:rsidR="00B86273">
        <w:rPr>
          <w:lang w:val="es-ES_tradnl"/>
        </w:rPr>
        <w:t>is</w:t>
      </w:r>
      <w:proofErr w:type="spellEnd"/>
      <w:r w:rsidR="00B86273">
        <w:rPr>
          <w:lang w:val="es-ES_tradnl"/>
        </w:rPr>
        <w:t xml:space="preserve"> </w:t>
      </w:r>
      <w:proofErr w:type="spellStart"/>
      <w:r w:rsidR="00B86273">
        <w:rPr>
          <w:lang w:val="es-ES_tradnl"/>
        </w:rPr>
        <w:t>acknowledged</w:t>
      </w:r>
      <w:proofErr w:type="spellEnd"/>
      <w:r w:rsidR="00B86273">
        <w:rPr>
          <w:lang w:val="es-ES_tradnl"/>
        </w:rPr>
        <w:t>.</w:t>
      </w:r>
    </w:p>
    <w:p w:rsidR="00C82A78" w:rsidRDefault="002B1693">
      <w:pPr>
        <w:jc w:val="center"/>
      </w:pPr>
      <w:r>
        <w:rPr>
          <w:noProof/>
        </w:rPr>
        <w:drawing>
          <wp:inline distT="0" distB="0" distL="0" distR="0">
            <wp:extent cx="5105400" cy="2550459"/>
            <wp:effectExtent l="0" t="0" r="0" b="2540"/>
            <wp:docPr id="18609363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3631" name="Imagen 186093631"/>
                    <pic:cNvPicPr/>
                  </pic:nvPicPr>
                  <pic:blipFill rotWithShape="1">
                    <a:blip r:embed="rId7" cstate="print">
                      <a:extLst>
                        <a:ext uri="{28A0092B-C50C-407E-A947-70E740481C1C}">
                          <a14:useLocalDpi xmlns:a14="http://schemas.microsoft.com/office/drawing/2010/main" val="0"/>
                        </a:ext>
                      </a:extLst>
                    </a:blip>
                    <a:srcRect t="20936"/>
                    <a:stretch/>
                  </pic:blipFill>
                  <pic:spPr bwMode="auto">
                    <a:xfrm>
                      <a:off x="0" y="0"/>
                      <a:ext cx="5105400" cy="2550459"/>
                    </a:xfrm>
                    <a:prstGeom prst="rect">
                      <a:avLst/>
                    </a:prstGeom>
                    <a:ln>
                      <a:noFill/>
                    </a:ln>
                    <a:extLst>
                      <a:ext uri="{53640926-AAD7-44D8-BBD7-CCE9431645EC}">
                        <a14:shadowObscured xmlns:a14="http://schemas.microsoft.com/office/drawing/2010/main"/>
                      </a:ext>
                    </a:extLst>
                  </pic:spPr>
                </pic:pic>
              </a:graphicData>
            </a:graphic>
          </wp:inline>
        </w:drawing>
      </w:r>
      <w:r w:rsidR="00F150C2">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56823890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DF26D"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" filled="f" stroked="f"/>
            </w:pict>
          </mc:Fallback>
        </mc:AlternateContent>
      </w:r>
    </w:p>
    <w:p w:rsidR="00C82A78" w:rsidRDefault="00000000">
      <w:pPr>
        <w:pStyle w:val="Ttulo6"/>
      </w:pPr>
      <w:r>
        <w:rPr>
          <w:b/>
        </w:rPr>
        <w:t>Figure 1</w:t>
      </w:r>
      <w:r>
        <w:t xml:space="preserve">. </w:t>
      </w:r>
      <w:r w:rsidR="00EC253A" w:rsidRPr="00EC253A">
        <w:t xml:space="preserve">The </w:t>
      </w:r>
      <w:proofErr w:type="spellStart"/>
      <w:r w:rsidR="00EC253A" w:rsidRPr="00EC253A">
        <w:rPr>
          <w:i/>
          <w:iCs/>
        </w:rPr>
        <w:t>m</w:t>
      </w:r>
      <w:r w:rsidR="00EC253A" w:rsidRPr="00EC253A">
        <w:t>BU</w:t>
      </w:r>
      <w:proofErr w:type="spellEnd"/>
      <w:r w:rsidR="00EC253A" w:rsidRPr="00EC253A">
        <w:t xml:space="preserve"> approach is based on the use of an heterometallic molecular unit, left, which is transformed into inorganic secondary building units when reacted with organic linkers, resulting in frameworks with various topologies, and controlled arrangement of the selected metal atoms</w:t>
      </w:r>
      <w:r>
        <w:t>.</w:t>
      </w:r>
    </w:p>
    <w:p w:rsidR="00C82A78" w:rsidRDefault="00C82A78">
      <w:pPr>
        <w:rPr>
          <w:lang w:eastAsia="cs-CZ"/>
        </w:rPr>
      </w:pPr>
    </w:p>
    <w:p w:rsidR="00C82A78" w:rsidRDefault="00C82A78">
      <w:pPr>
        <w:rPr>
          <w:lang w:eastAsia="cs-CZ"/>
        </w:rPr>
      </w:pPr>
    </w:p>
    <w:p w:rsidR="00C82A78" w:rsidRDefault="00000000">
      <w:pPr>
        <w:pStyle w:val="Ttulo4"/>
      </w:pPr>
      <w:r>
        <w:t xml:space="preserve">[1] </w:t>
      </w:r>
      <w:r w:rsidR="00220D8F" w:rsidRPr="00220D8F">
        <w:t>López-García</w:t>
      </w:r>
      <w:r w:rsidR="00220D8F">
        <w:t>,</w:t>
      </w:r>
      <w:r w:rsidR="00220D8F" w:rsidRPr="00220D8F">
        <w:t xml:space="preserve"> C</w:t>
      </w:r>
      <w:r w:rsidR="00220D8F">
        <w:t>.,</w:t>
      </w:r>
      <w:r w:rsidR="00220D8F" w:rsidRPr="00220D8F">
        <w:t xml:space="preserve"> Canossa</w:t>
      </w:r>
      <w:r w:rsidR="00220D8F">
        <w:t>,</w:t>
      </w:r>
      <w:r w:rsidR="00220D8F" w:rsidRPr="00220D8F">
        <w:t xml:space="preserve"> S</w:t>
      </w:r>
      <w:r w:rsidR="00220D8F">
        <w:t>.;</w:t>
      </w:r>
      <w:r w:rsidR="00220D8F" w:rsidRPr="00220D8F">
        <w:t xml:space="preserve"> </w:t>
      </w:r>
      <w:proofErr w:type="spellStart"/>
      <w:r w:rsidR="00220D8F" w:rsidRPr="00220D8F">
        <w:t>Hadermann</w:t>
      </w:r>
      <w:proofErr w:type="spellEnd"/>
      <w:r w:rsidR="00220D8F">
        <w:t>,</w:t>
      </w:r>
      <w:r w:rsidR="00220D8F" w:rsidRPr="00220D8F">
        <w:t xml:space="preserve"> J, </w:t>
      </w:r>
      <w:proofErr w:type="spellStart"/>
      <w:r w:rsidR="00220D8F" w:rsidRPr="00220D8F">
        <w:t>Gorni</w:t>
      </w:r>
      <w:proofErr w:type="spellEnd"/>
      <w:r w:rsidR="00220D8F">
        <w:t>,</w:t>
      </w:r>
      <w:r w:rsidR="00220D8F" w:rsidRPr="00220D8F">
        <w:t xml:space="preserve"> G</w:t>
      </w:r>
      <w:r w:rsidR="00220D8F">
        <w:t>.</w:t>
      </w:r>
      <w:r w:rsidR="00220D8F" w:rsidRPr="00220D8F">
        <w:t>, Oropeza</w:t>
      </w:r>
      <w:r w:rsidR="00220D8F">
        <w:t>,</w:t>
      </w:r>
      <w:r w:rsidR="00220D8F" w:rsidRPr="00220D8F">
        <w:t xml:space="preserve"> F</w:t>
      </w:r>
      <w:r w:rsidR="00220D8F">
        <w:t>.</w:t>
      </w:r>
      <w:r w:rsidR="00220D8F" w:rsidRPr="00220D8F">
        <w:t>E</w:t>
      </w:r>
      <w:r w:rsidR="00220D8F">
        <w:t>.;</w:t>
      </w:r>
      <w:r w:rsidR="00220D8F" w:rsidRPr="00220D8F">
        <w:t xml:space="preserve"> de la Peña O’Shea</w:t>
      </w:r>
      <w:r w:rsidR="00220D8F">
        <w:t>,</w:t>
      </w:r>
      <w:r w:rsidR="00220D8F" w:rsidRPr="00220D8F">
        <w:t xml:space="preserve"> V</w:t>
      </w:r>
      <w:r w:rsidR="00220D8F">
        <w:t>.</w:t>
      </w:r>
      <w:r w:rsidR="00220D8F" w:rsidRPr="00220D8F">
        <w:t>A</w:t>
      </w:r>
      <w:r w:rsidR="00220D8F">
        <w:t>.;</w:t>
      </w:r>
      <w:r w:rsidR="00220D8F" w:rsidRPr="00220D8F">
        <w:t xml:space="preserve"> Iglesias</w:t>
      </w:r>
      <w:r w:rsidR="00220D8F">
        <w:t>,</w:t>
      </w:r>
      <w:r w:rsidR="00220D8F" w:rsidRPr="00220D8F">
        <w:t xml:space="preserve"> M</w:t>
      </w:r>
      <w:r w:rsidR="00220D8F">
        <w:t xml:space="preserve">.; </w:t>
      </w:r>
      <w:r w:rsidR="00220D8F" w:rsidRPr="00220D8F">
        <w:t>Monge</w:t>
      </w:r>
      <w:r w:rsidR="00220D8F">
        <w:t>,</w:t>
      </w:r>
      <w:r w:rsidR="00220D8F" w:rsidRPr="00220D8F">
        <w:t xml:space="preserve"> M</w:t>
      </w:r>
      <w:r w:rsidR="00220D8F">
        <w:t>.;</w:t>
      </w:r>
      <w:r w:rsidR="00220D8F" w:rsidRPr="00220D8F">
        <w:t xml:space="preserve"> Gutiérrez-Puebla</w:t>
      </w:r>
      <w:r w:rsidR="00220D8F">
        <w:t>,</w:t>
      </w:r>
      <w:r w:rsidR="00220D8F" w:rsidRPr="00220D8F">
        <w:t xml:space="preserve"> E</w:t>
      </w:r>
      <w:r w:rsidR="00220D8F">
        <w:t>.;</w:t>
      </w:r>
      <w:r w:rsidR="00220D8F" w:rsidRPr="00220D8F">
        <w:t xml:space="preserve"> Gándara</w:t>
      </w:r>
      <w:r w:rsidR="00220D8F">
        <w:t>,</w:t>
      </w:r>
      <w:r w:rsidR="00220D8F" w:rsidRPr="00220D8F">
        <w:t xml:space="preserve"> F</w:t>
      </w:r>
      <w:r>
        <w:t>. (</w:t>
      </w:r>
      <w:r w:rsidR="00220D8F">
        <w:t>2022</w:t>
      </w:r>
      <w:r>
        <w:t xml:space="preserve">). </w:t>
      </w:r>
      <w:r w:rsidR="00220D8F">
        <w:rPr>
          <w:i/>
        </w:rPr>
        <w:t>J. Am. Chem. Soc.</w:t>
      </w:r>
      <w:r>
        <w:t xml:space="preserve"> </w:t>
      </w:r>
      <w:r w:rsidR="00220D8F">
        <w:rPr>
          <w:b/>
        </w:rPr>
        <w:t>144</w:t>
      </w:r>
      <w:r>
        <w:t xml:space="preserve">, </w:t>
      </w:r>
      <w:r w:rsidR="00220D8F">
        <w:t>16262</w:t>
      </w:r>
      <w:r>
        <w:t>.</w:t>
      </w:r>
    </w:p>
    <w:p w:rsidR="00C82A78" w:rsidRDefault="00000000" w:rsidP="00B86273">
      <w:pPr>
        <w:pStyle w:val="Ttulo4"/>
      </w:pPr>
      <w:r>
        <w:t xml:space="preserve">[2] </w:t>
      </w:r>
      <w:r w:rsidR="00220D8F" w:rsidRPr="00220D8F">
        <w:rPr>
          <w:lang w:val="en-US"/>
        </w:rPr>
        <w:t>López‐García</w:t>
      </w:r>
      <w:r w:rsidR="00220D8F">
        <w:rPr>
          <w:lang w:val="en-US"/>
        </w:rPr>
        <w:t>,</w:t>
      </w:r>
      <w:r w:rsidR="00220D8F" w:rsidRPr="00220D8F">
        <w:rPr>
          <w:lang w:val="en-US"/>
        </w:rPr>
        <w:t xml:space="preserve"> C</w:t>
      </w:r>
      <w:r w:rsidR="00220D8F">
        <w:rPr>
          <w:lang w:val="en-US"/>
        </w:rPr>
        <w:t>.;</w:t>
      </w:r>
      <w:r w:rsidR="00220D8F" w:rsidRPr="00220D8F">
        <w:rPr>
          <w:lang w:val="en-US"/>
        </w:rPr>
        <w:t xml:space="preserve"> </w:t>
      </w:r>
      <w:proofErr w:type="spellStart"/>
      <w:r w:rsidR="00220D8F" w:rsidRPr="00220D8F">
        <w:rPr>
          <w:lang w:val="en-US"/>
        </w:rPr>
        <w:t>Skorynina</w:t>
      </w:r>
      <w:proofErr w:type="spellEnd"/>
      <w:r w:rsidR="00220D8F">
        <w:rPr>
          <w:lang w:val="en-US"/>
        </w:rPr>
        <w:t xml:space="preserve">, </w:t>
      </w:r>
      <w:r w:rsidR="00220D8F" w:rsidRPr="00220D8F">
        <w:rPr>
          <w:lang w:val="en-US"/>
        </w:rPr>
        <w:t>A</w:t>
      </w:r>
      <w:r w:rsidR="00220D8F">
        <w:rPr>
          <w:lang w:val="en-US"/>
        </w:rPr>
        <w:t>.</w:t>
      </w:r>
      <w:r w:rsidR="00220D8F" w:rsidRPr="00220D8F">
        <w:rPr>
          <w:lang w:val="en-US"/>
        </w:rPr>
        <w:t>A</w:t>
      </w:r>
      <w:r w:rsidR="00220D8F">
        <w:rPr>
          <w:lang w:val="en-US"/>
        </w:rPr>
        <w:t>.;</w:t>
      </w:r>
      <w:r w:rsidR="00220D8F" w:rsidRPr="00220D8F">
        <w:rPr>
          <w:lang w:val="en-US"/>
        </w:rPr>
        <w:t xml:space="preserve"> Esteban‐</w:t>
      </w:r>
      <w:proofErr w:type="spellStart"/>
      <w:r w:rsidR="00220D8F" w:rsidRPr="00220D8F">
        <w:rPr>
          <w:lang w:val="en-US"/>
        </w:rPr>
        <w:t>Betegón</w:t>
      </w:r>
      <w:proofErr w:type="spellEnd"/>
      <w:r w:rsidR="00220D8F">
        <w:rPr>
          <w:lang w:val="en-US"/>
        </w:rPr>
        <w:t>,</w:t>
      </w:r>
      <w:r w:rsidR="00220D8F" w:rsidRPr="00220D8F">
        <w:rPr>
          <w:lang w:val="en-US"/>
        </w:rPr>
        <w:t xml:space="preserve"> F</w:t>
      </w:r>
      <w:r w:rsidR="00220D8F">
        <w:rPr>
          <w:lang w:val="en-US"/>
        </w:rPr>
        <w:t>.;</w:t>
      </w:r>
      <w:r w:rsidR="00220D8F" w:rsidRPr="00220D8F">
        <w:rPr>
          <w:lang w:val="en-US"/>
        </w:rPr>
        <w:t xml:space="preserve"> Pérez‐Carvajal</w:t>
      </w:r>
      <w:r w:rsidR="00220D8F">
        <w:rPr>
          <w:lang w:val="en-US"/>
        </w:rPr>
        <w:t>,</w:t>
      </w:r>
      <w:r w:rsidR="00220D8F" w:rsidRPr="00220D8F">
        <w:rPr>
          <w:lang w:val="en-US"/>
        </w:rPr>
        <w:t xml:space="preserve"> J</w:t>
      </w:r>
      <w:r w:rsidR="00220D8F">
        <w:rPr>
          <w:lang w:val="en-US"/>
        </w:rPr>
        <w:t>.;</w:t>
      </w:r>
      <w:r w:rsidR="00220D8F" w:rsidRPr="00220D8F">
        <w:rPr>
          <w:lang w:val="en-US"/>
        </w:rPr>
        <w:t xml:space="preserve"> Iglesias</w:t>
      </w:r>
      <w:r w:rsidR="00220D8F">
        <w:rPr>
          <w:lang w:val="en-US"/>
        </w:rPr>
        <w:t>,</w:t>
      </w:r>
      <w:r w:rsidR="00220D8F" w:rsidRPr="00220D8F">
        <w:rPr>
          <w:lang w:val="en-US"/>
        </w:rPr>
        <w:t xml:space="preserve"> M</w:t>
      </w:r>
      <w:r w:rsidR="00220D8F">
        <w:rPr>
          <w:lang w:val="en-US"/>
        </w:rPr>
        <w:t xml:space="preserve">.; </w:t>
      </w:r>
      <w:r w:rsidR="00220D8F" w:rsidRPr="00220D8F">
        <w:rPr>
          <w:lang w:val="en-US"/>
        </w:rPr>
        <w:t>Monge</w:t>
      </w:r>
      <w:r w:rsidR="00220D8F">
        <w:rPr>
          <w:lang w:val="en-US"/>
        </w:rPr>
        <w:t xml:space="preserve">, </w:t>
      </w:r>
      <w:r w:rsidR="00220D8F" w:rsidRPr="00220D8F">
        <w:rPr>
          <w:lang w:val="en-US"/>
        </w:rPr>
        <w:t>M</w:t>
      </w:r>
      <w:r w:rsidR="00220D8F">
        <w:rPr>
          <w:lang w:val="en-US"/>
        </w:rPr>
        <w:t>.</w:t>
      </w:r>
      <w:r w:rsidR="00220D8F" w:rsidRPr="00220D8F">
        <w:rPr>
          <w:lang w:val="en-US"/>
        </w:rPr>
        <w:t>A</w:t>
      </w:r>
      <w:r w:rsidR="00220D8F">
        <w:rPr>
          <w:lang w:val="en-US"/>
        </w:rPr>
        <w:t>.;</w:t>
      </w:r>
      <w:r w:rsidR="00220D8F" w:rsidRPr="00220D8F">
        <w:rPr>
          <w:lang w:val="en-US"/>
        </w:rPr>
        <w:t xml:space="preserve"> Gutiérrez‐Puebla</w:t>
      </w:r>
      <w:r w:rsidR="00220D8F">
        <w:rPr>
          <w:lang w:val="en-US"/>
        </w:rPr>
        <w:t>,</w:t>
      </w:r>
      <w:r w:rsidR="00220D8F" w:rsidRPr="00220D8F">
        <w:rPr>
          <w:lang w:val="en-US"/>
        </w:rPr>
        <w:t xml:space="preserve"> E</w:t>
      </w:r>
      <w:r w:rsidR="00220D8F">
        <w:rPr>
          <w:lang w:val="en-US"/>
        </w:rPr>
        <w:t xml:space="preserve">.; </w:t>
      </w:r>
      <w:r w:rsidR="00220D8F" w:rsidRPr="00220D8F">
        <w:rPr>
          <w:lang w:val="en-US"/>
        </w:rPr>
        <w:t>Gándara</w:t>
      </w:r>
      <w:r w:rsidR="00220D8F">
        <w:rPr>
          <w:lang w:val="en-US"/>
        </w:rPr>
        <w:t>,</w:t>
      </w:r>
      <w:r w:rsidR="00220D8F" w:rsidRPr="00220D8F">
        <w:rPr>
          <w:lang w:val="en-US"/>
        </w:rPr>
        <w:t xml:space="preserve"> F</w:t>
      </w:r>
      <w:r>
        <w:t>. (20</w:t>
      </w:r>
      <w:r w:rsidR="00220D8F">
        <w:t>25</w:t>
      </w:r>
      <w:r>
        <w:t xml:space="preserve">). </w:t>
      </w:r>
      <w:r w:rsidR="00220D8F">
        <w:rPr>
          <w:i/>
        </w:rPr>
        <w:t>Small Structures</w:t>
      </w:r>
      <w:r>
        <w:t xml:space="preserve">, </w:t>
      </w:r>
      <w:r>
        <w:rPr>
          <w:b/>
        </w:rPr>
        <w:t>123</w:t>
      </w:r>
      <w:r>
        <w:t xml:space="preserve">, </w:t>
      </w:r>
      <w:r w:rsidR="00222803" w:rsidRPr="00222803">
        <w:t>202400581</w:t>
      </w:r>
      <w:r>
        <w:t>.</w:t>
      </w:r>
    </w:p>
    <w:sectPr w:rsidR="00C82A78">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4C15" w:rsidRDefault="00DA4C15">
      <w:pPr>
        <w:spacing w:after="0"/>
      </w:pPr>
      <w:r>
        <w:separator/>
      </w:r>
    </w:p>
  </w:endnote>
  <w:endnote w:type="continuationSeparator" w:id="0">
    <w:p w:rsidR="00DA4C15" w:rsidRDefault="00DA4C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2A78" w:rsidRDefault="00000000">
    <w:pPr>
      <w:pStyle w:val="Piedepgina"/>
    </w:pPr>
    <w:r>
      <w:t xml:space="preserve">Acta </w:t>
    </w:r>
    <w:proofErr w:type="spellStart"/>
    <w:r>
      <w:t>Cryst</w:t>
    </w:r>
    <w:proofErr w:type="spellEnd"/>
    <w:r>
      <w:t>. (2025). A81, e1</w:t>
    </w:r>
  </w:p>
  <w:p w:rsidR="00C82A78" w:rsidRDefault="00C82A78">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4C15" w:rsidRDefault="00DA4C15">
      <w:pPr>
        <w:spacing w:after="0"/>
      </w:pPr>
      <w:r>
        <w:separator/>
      </w:r>
    </w:p>
  </w:footnote>
  <w:footnote w:type="continuationSeparator" w:id="0">
    <w:p w:rsidR="00DA4C15" w:rsidRDefault="00DA4C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2A78" w:rsidRDefault="00000000">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78"/>
    <w:rsid w:val="00220D8F"/>
    <w:rsid w:val="00222803"/>
    <w:rsid w:val="00292B9E"/>
    <w:rsid w:val="002B1693"/>
    <w:rsid w:val="004F3DF9"/>
    <w:rsid w:val="007C28BA"/>
    <w:rsid w:val="00B75F66"/>
    <w:rsid w:val="00B86273"/>
    <w:rsid w:val="00C82A78"/>
    <w:rsid w:val="00CB4A3A"/>
    <w:rsid w:val="00DA4C15"/>
    <w:rsid w:val="00E272F4"/>
    <w:rsid w:val="00EC253A"/>
    <w:rsid w:val="00F150C2"/>
    <w:rsid w:val="00F926F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8C85"/>
  <w15:docId w15:val="{CD0206EE-47DC-7C45-AB38-508DF154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tulo1">
    <w:name w:val="heading 1"/>
    <w:basedOn w:val="Normal"/>
    <w:next w:val="Ttulo2"/>
    <w:link w:val="Ttulo1Car"/>
    <w:uiPriority w:val="99"/>
    <w:qFormat/>
    <w:rsid w:val="00925275"/>
    <w:pPr>
      <w:keepNext/>
      <w:spacing w:before="240" w:after="60"/>
      <w:jc w:val="center"/>
      <w:outlineLvl w:val="0"/>
    </w:pPr>
    <w:rPr>
      <w:rFonts w:ascii="Arial" w:hAnsi="Arial" w:cs="Arial"/>
      <w:b/>
      <w:bCs/>
      <w:kern w:val="2"/>
      <w:sz w:val="24"/>
      <w:szCs w:val="32"/>
    </w:rPr>
  </w:style>
  <w:style w:type="paragraph" w:styleId="Ttulo2">
    <w:name w:val="heading 2"/>
    <w:basedOn w:val="Normal"/>
    <w:next w:val="Ttulo3"/>
    <w:link w:val="Ttulo2Car"/>
    <w:uiPriority w:val="99"/>
    <w:qFormat/>
    <w:rsid w:val="00925275"/>
    <w:pPr>
      <w:keepNext/>
      <w:spacing w:before="240" w:after="240"/>
      <w:jc w:val="center"/>
      <w:outlineLvl w:val="1"/>
    </w:pPr>
    <w:rPr>
      <w:rFonts w:ascii="Arial" w:hAnsi="Arial" w:cs="Arial"/>
      <w:b/>
      <w:bCs/>
      <w:iCs/>
      <w:szCs w:val="28"/>
    </w:rPr>
  </w:style>
  <w:style w:type="paragraph" w:styleId="Ttulo3">
    <w:name w:val="heading 3"/>
    <w:basedOn w:val="Normal"/>
    <w:next w:val="Normal"/>
    <w:link w:val="Ttulo3Car"/>
    <w:uiPriority w:val="99"/>
    <w:qFormat/>
    <w:rsid w:val="002E03DB"/>
    <w:pPr>
      <w:keepNext/>
      <w:jc w:val="center"/>
      <w:outlineLvl w:val="2"/>
    </w:pPr>
    <w:rPr>
      <w:bCs/>
      <w:i/>
      <w:szCs w:val="24"/>
      <w:lang w:eastAsia="cs-CZ"/>
    </w:rPr>
  </w:style>
  <w:style w:type="paragraph" w:styleId="Ttulo4">
    <w:name w:val="heading 4"/>
    <w:basedOn w:val="Normal"/>
    <w:next w:val="Normal"/>
    <w:link w:val="Ttulo4Car"/>
    <w:uiPriority w:val="99"/>
    <w:qFormat/>
    <w:rsid w:val="00FF732E"/>
    <w:pPr>
      <w:keepNext/>
      <w:ind w:left="567" w:hanging="567"/>
      <w:outlineLvl w:val="3"/>
    </w:pPr>
    <w:rPr>
      <w:bCs/>
      <w:sz w:val="18"/>
      <w:szCs w:val="24"/>
      <w:lang w:eastAsia="cs-CZ"/>
    </w:rPr>
  </w:style>
  <w:style w:type="paragraph" w:styleId="Ttulo5">
    <w:name w:val="heading 5"/>
    <w:basedOn w:val="Ttulo6"/>
    <w:next w:val="Normal"/>
    <w:link w:val="Ttulo5Car"/>
    <w:uiPriority w:val="9"/>
    <w:unhideWhenUsed/>
    <w:qFormat/>
    <w:rsid w:val="00605A18"/>
    <w:pPr>
      <w:outlineLvl w:val="4"/>
    </w:pPr>
    <w:rPr>
      <w:b/>
    </w:rPr>
  </w:style>
  <w:style w:type="paragraph" w:styleId="Ttulo6">
    <w:name w:val="heading 6"/>
    <w:basedOn w:val="Normal"/>
    <w:next w:val="Normal"/>
    <w:link w:val="Ttulo6Car"/>
    <w:uiPriority w:val="9"/>
    <w:unhideWhenUsed/>
    <w:qFormat/>
    <w:rsid w:val="00777DA8"/>
    <w:pPr>
      <w:spacing w:after="60"/>
      <w:jc w:val="center"/>
      <w:outlineLvl w:val="5"/>
    </w:pPr>
    <w:rPr>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qFormat/>
    <w:locked/>
    <w:rsid w:val="00925275"/>
    <w:rPr>
      <w:rFonts w:ascii="Arial" w:hAnsi="Arial" w:cs="Arial"/>
      <w:b/>
      <w:bCs/>
      <w:kern w:val="2"/>
      <w:sz w:val="24"/>
      <w:szCs w:val="32"/>
      <w:lang w:val="en-GB" w:eastAsia="de-DE"/>
    </w:rPr>
  </w:style>
  <w:style w:type="character" w:customStyle="1" w:styleId="Ttulo2Car">
    <w:name w:val="Título 2 Car"/>
    <w:link w:val="Ttulo2"/>
    <w:uiPriority w:val="99"/>
    <w:qFormat/>
    <w:locked/>
    <w:rsid w:val="00925275"/>
    <w:rPr>
      <w:rFonts w:ascii="Arial" w:hAnsi="Arial" w:cs="Arial"/>
      <w:b/>
      <w:bCs/>
      <w:iCs/>
      <w:sz w:val="22"/>
      <w:szCs w:val="28"/>
      <w:lang w:val="en-GB" w:eastAsia="de-DE"/>
    </w:rPr>
  </w:style>
  <w:style w:type="character" w:customStyle="1" w:styleId="Ttulo3Car">
    <w:name w:val="Título 3 Car"/>
    <w:link w:val="Ttulo3"/>
    <w:uiPriority w:val="99"/>
    <w:qFormat/>
    <w:locked/>
    <w:rsid w:val="002E03DB"/>
    <w:rPr>
      <w:bCs/>
      <w:i/>
      <w:sz w:val="22"/>
      <w:szCs w:val="24"/>
      <w:lang w:val="en-GB"/>
    </w:rPr>
  </w:style>
  <w:style w:type="character" w:customStyle="1" w:styleId="Ttulo4Car">
    <w:name w:val="Título 4 Car"/>
    <w:link w:val="Ttulo4"/>
    <w:uiPriority w:val="99"/>
    <w:qFormat/>
    <w:locked/>
    <w:rsid w:val="00FF732E"/>
    <w:rPr>
      <w:bCs/>
      <w:sz w:val="18"/>
      <w:szCs w:val="24"/>
      <w:lang w:val="en-GB"/>
    </w:rPr>
  </w:style>
  <w:style w:type="character" w:customStyle="1" w:styleId="DireccinHTMLCar">
    <w:name w:val="Dirección HTML Car"/>
    <w:link w:val="DireccinHTML"/>
    <w:uiPriority w:val="99"/>
    <w:semiHidden/>
    <w:qFormat/>
    <w:rsid w:val="005E6DCD"/>
    <w:rPr>
      <w:i/>
      <w:iCs/>
      <w:lang w:val="de-DE" w:eastAsia="de-DE"/>
    </w:rPr>
  </w:style>
  <w:style w:type="character" w:customStyle="1" w:styleId="Ttulo5Car">
    <w:name w:val="Título 5 Car"/>
    <w:link w:val="Ttulo5"/>
    <w:uiPriority w:val="9"/>
    <w:qFormat/>
    <w:rsid w:val="00605A18"/>
    <w:rPr>
      <w:b/>
      <w:bCs/>
      <w:szCs w:val="22"/>
      <w:lang w:val="en-GB" w:eastAsia="de-DE"/>
    </w:rPr>
  </w:style>
  <w:style w:type="character" w:customStyle="1" w:styleId="Ttulo6Car">
    <w:name w:val="Título 6 Car"/>
    <w:link w:val="Ttulo6"/>
    <w:uiPriority w:val="9"/>
    <w:qFormat/>
    <w:rsid w:val="00777DA8"/>
    <w:rPr>
      <w:rFonts w:eastAsia="Times New Roman" w:cs="Times New Roman"/>
      <w:bCs/>
      <w:szCs w:val="22"/>
      <w:lang w:val="de-DE" w:eastAsia="de-DE"/>
    </w:rPr>
  </w:style>
  <w:style w:type="character" w:customStyle="1" w:styleId="EncabezadoCar">
    <w:name w:val="Encabezado Car"/>
    <w:link w:val="Encabezado"/>
    <w:uiPriority w:val="99"/>
    <w:qFormat/>
    <w:rsid w:val="00D13351"/>
    <w:rPr>
      <w:lang w:val="en-GB" w:eastAsia="de-DE"/>
    </w:rPr>
  </w:style>
  <w:style w:type="character" w:customStyle="1" w:styleId="PiedepginaCar">
    <w:name w:val="Pie de página Car"/>
    <w:link w:val="Piedepgina"/>
    <w:uiPriority w:val="99"/>
    <w:qFormat/>
    <w:rsid w:val="00D13351"/>
    <w:rPr>
      <w:lang w:val="en-GB" w:eastAsia="de-DE"/>
    </w:rPr>
  </w:style>
  <w:style w:type="character" w:customStyle="1" w:styleId="TextodegloboCar">
    <w:name w:val="Texto de globo Car"/>
    <w:link w:val="Textodeglobo"/>
    <w:uiPriority w:val="99"/>
    <w:semiHidden/>
    <w:qFormat/>
    <w:rsid w:val="00C64DBE"/>
    <w:rPr>
      <w:rFonts w:ascii="Tahoma" w:hAnsi="Tahoma" w:cs="Tahoma"/>
      <w:sz w:val="16"/>
      <w:szCs w:val="16"/>
      <w:lang w:val="en-GB" w:eastAsia="de-DE"/>
    </w:rPr>
  </w:style>
  <w:style w:type="paragraph" w:customStyle="1" w:styleId="Heading">
    <w:name w:val="Heading"/>
    <w:basedOn w:val="Normal"/>
    <w:next w:val="Textoindependiente"/>
    <w:qFormat/>
    <w:pPr>
      <w:keepNext/>
      <w:spacing w:before="24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DireccinHTML">
    <w:name w:val="HTML Address"/>
    <w:basedOn w:val="Normal"/>
    <w:link w:val="DireccinHTMLCar"/>
    <w:uiPriority w:val="99"/>
    <w:semiHidden/>
    <w:unhideWhenUsed/>
    <w:qFormat/>
    <w:rsid w:val="005E6DCD"/>
    <w:rPr>
      <w:i/>
      <w:iCs/>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D13351"/>
    <w:pPr>
      <w:tabs>
        <w:tab w:val="center" w:pos="4536"/>
        <w:tab w:val="right" w:pos="9072"/>
      </w:tabs>
    </w:pPr>
  </w:style>
  <w:style w:type="paragraph" w:styleId="Piedepgina">
    <w:name w:val="footer"/>
    <w:basedOn w:val="Normal"/>
    <w:link w:val="PiedepginaCar"/>
    <w:uiPriority w:val="99"/>
    <w:unhideWhenUsed/>
    <w:rsid w:val="00D13351"/>
    <w:pPr>
      <w:tabs>
        <w:tab w:val="center" w:pos="4536"/>
        <w:tab w:val="right" w:pos="9072"/>
      </w:tabs>
    </w:pPr>
  </w:style>
  <w:style w:type="paragraph" w:styleId="Textodeglobo">
    <w:name w:val="Balloon Text"/>
    <w:basedOn w:val="Normal"/>
    <w:link w:val="TextodegloboCar"/>
    <w:uiPriority w:val="99"/>
    <w:semiHidden/>
    <w:unhideWhenUsed/>
    <w:qFormat/>
    <w:rsid w:val="00C64DBE"/>
    <w:pPr>
      <w:spacing w:after="0"/>
    </w:pPr>
    <w:rPr>
      <w:rFonts w:ascii="Tahoma" w:hAnsi="Tahoma" w:cs="Tahoma"/>
      <w:sz w:val="16"/>
      <w:szCs w:val="16"/>
    </w:rPr>
  </w:style>
  <w:style w:type="table" w:styleId="Tablaconcuadrcula">
    <w:name w:val="Table Grid"/>
    <w:basedOn w:val="Tabla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Materials Structure</vt:lpstr>
    </vt:vector>
  </TitlesOfParts>
  <Company>MFF UK</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Felipe Gándara</cp:lastModifiedBy>
  <cp:revision>4</cp:revision>
  <dcterms:created xsi:type="dcterms:W3CDTF">2025-05-05T17:17:00Z</dcterms:created>
  <dcterms:modified xsi:type="dcterms:W3CDTF">2025-05-06T09:45:00Z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