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B308" w14:textId="2C01BEDD" w:rsidR="00594729" w:rsidRDefault="001B455B">
      <w:pPr>
        <w:pStyle w:val="berschrift1"/>
      </w:pPr>
      <w:r>
        <w:t>T</w:t>
      </w:r>
      <w:r w:rsidR="008B44AD">
        <w:t>he search for FGE stabilizing molecules: from fragment screen hits to potential lead(s)</w:t>
      </w:r>
      <w:r>
        <w:t xml:space="preserve"> </w:t>
      </w:r>
    </w:p>
    <w:p w14:paraId="30512D39" w14:textId="057D57B0" w:rsidR="00594729" w:rsidRPr="008B44AD" w:rsidRDefault="008B44AD" w:rsidP="003D51F0">
      <w:pPr>
        <w:pStyle w:val="berschrift2"/>
      </w:pPr>
      <w:r w:rsidRPr="004D22CB">
        <w:t>J</w:t>
      </w:r>
      <w:r w:rsidR="00781C88" w:rsidRPr="004D22CB">
        <w:t>.</w:t>
      </w:r>
      <w:r w:rsidRPr="004D22CB">
        <w:t xml:space="preserve"> L. Kowal</w:t>
      </w:r>
      <w:r w:rsidR="001B455B" w:rsidRPr="004D22CB">
        <w:rPr>
          <w:vertAlign w:val="superscript"/>
        </w:rPr>
        <w:t>1</w:t>
      </w:r>
      <w:r w:rsidR="001B455B" w:rsidRPr="008B44AD">
        <w:t xml:space="preserve">, </w:t>
      </w:r>
      <w:r w:rsidRPr="008B44AD">
        <w:t>N</w:t>
      </w:r>
      <w:r w:rsidR="00781C88">
        <w:t>.</w:t>
      </w:r>
      <w:r w:rsidRPr="008B44AD">
        <w:t xml:space="preserve"> Ezzaidi</w:t>
      </w:r>
      <w:r w:rsidRPr="008B44AD">
        <w:rPr>
          <w:vertAlign w:val="superscript"/>
        </w:rPr>
        <w:t>2</w:t>
      </w:r>
      <w:r w:rsidR="001B455B" w:rsidRPr="008B44AD">
        <w:t xml:space="preserve">, </w:t>
      </w:r>
      <w:r w:rsidRPr="008B44AD">
        <w:t>J</w:t>
      </w:r>
      <w:r w:rsidR="00781C88">
        <w:t>.</w:t>
      </w:r>
      <w:r w:rsidRPr="008B44AD">
        <w:t xml:space="preserve"> Wollenhaupt</w:t>
      </w:r>
      <w:r w:rsidRPr="008B44AD">
        <w:rPr>
          <w:vertAlign w:val="superscript"/>
        </w:rPr>
        <w:t>3</w:t>
      </w:r>
      <w:r w:rsidRPr="008B44AD">
        <w:t>,</w:t>
      </w:r>
      <w:r>
        <w:t xml:space="preserve"> </w:t>
      </w:r>
      <w:r w:rsidRPr="008B44AD">
        <w:t>K</w:t>
      </w:r>
      <w:r w:rsidR="00781C88">
        <w:t>.</w:t>
      </w:r>
      <w:r w:rsidRPr="008B44AD">
        <w:t xml:space="preserve"> Radhakrishnan</w:t>
      </w:r>
      <w:r w:rsidRPr="008B44AD">
        <w:rPr>
          <w:vertAlign w:val="superscript"/>
        </w:rPr>
        <w:t>4</w:t>
      </w:r>
      <w:r w:rsidRPr="008B44AD">
        <w:t>, T</w:t>
      </w:r>
      <w:r w:rsidR="00781C88">
        <w:t>.</w:t>
      </w:r>
      <w:r>
        <w:t xml:space="preserve"> Pietrowski</w:t>
      </w:r>
      <w:r w:rsidRPr="008B44AD">
        <w:rPr>
          <w:vertAlign w:val="superscript"/>
        </w:rPr>
        <w:t>1</w:t>
      </w:r>
      <w:r>
        <w:t>, M</w:t>
      </w:r>
      <w:r w:rsidR="00781C88">
        <w:t>.</w:t>
      </w:r>
      <w:r>
        <w:t xml:space="preserve"> Löwen</w:t>
      </w:r>
      <w:r w:rsidRPr="008B44AD">
        <w:rPr>
          <w:vertAlign w:val="superscript"/>
        </w:rPr>
        <w:t>1</w:t>
      </w:r>
      <w:r>
        <w:t>, M</w:t>
      </w:r>
      <w:r w:rsidR="00781C88">
        <w:t>.</w:t>
      </w:r>
      <w:r>
        <w:t xml:space="preserve"> Thangarasah</w:t>
      </w:r>
      <w:r w:rsidRPr="008B44AD">
        <w:rPr>
          <w:vertAlign w:val="superscript"/>
        </w:rPr>
        <w:t>1</w:t>
      </w:r>
      <w:r>
        <w:t xml:space="preserve">, </w:t>
      </w:r>
      <w:r w:rsidR="00781C88">
        <w:br/>
        <w:t>H. J. Horstmeier</w:t>
      </w:r>
      <w:r w:rsidR="00781C88" w:rsidRPr="00781C88">
        <w:rPr>
          <w:vertAlign w:val="superscript"/>
        </w:rPr>
        <w:t>1</w:t>
      </w:r>
      <w:r w:rsidR="00781C88">
        <w:t>, E. Baum</w:t>
      </w:r>
      <w:r w:rsidR="00781C88" w:rsidRPr="00781C88">
        <w:rPr>
          <w:vertAlign w:val="superscript"/>
        </w:rPr>
        <w:t>1</w:t>
      </w:r>
      <w:r w:rsidR="00781C88">
        <w:t xml:space="preserve">, </w:t>
      </w:r>
      <w:r>
        <w:t>W</w:t>
      </w:r>
      <w:r w:rsidR="00781C88">
        <w:t>.</w:t>
      </w:r>
      <w:r>
        <w:t xml:space="preserve"> Keller</w:t>
      </w:r>
      <w:r w:rsidRPr="008B44AD">
        <w:rPr>
          <w:vertAlign w:val="superscript"/>
        </w:rPr>
        <w:t>1</w:t>
      </w:r>
      <w:r>
        <w:t>, S</w:t>
      </w:r>
      <w:r w:rsidR="00781C88">
        <w:t>.</w:t>
      </w:r>
      <w:r>
        <w:t xml:space="preserve"> Alam</w:t>
      </w:r>
      <w:r w:rsidRPr="008B44AD">
        <w:rPr>
          <w:vertAlign w:val="superscript"/>
        </w:rPr>
        <w:t>4</w:t>
      </w:r>
      <w:r>
        <w:t>, M</w:t>
      </w:r>
      <w:r w:rsidR="00781C88">
        <w:t>.</w:t>
      </w:r>
      <w:r>
        <w:t xml:space="preserve"> S. Weiss</w:t>
      </w:r>
      <w:r w:rsidRPr="008B44AD">
        <w:rPr>
          <w:vertAlign w:val="superscript"/>
        </w:rPr>
        <w:t>3</w:t>
      </w:r>
      <w:r>
        <w:t>, M</w:t>
      </w:r>
      <w:r w:rsidR="00781C88">
        <w:t>.</w:t>
      </w:r>
      <w:r>
        <w:t xml:space="preserve"> G. J. Baud</w:t>
      </w:r>
      <w:r w:rsidRPr="008B44AD">
        <w:rPr>
          <w:vertAlign w:val="superscript"/>
        </w:rPr>
        <w:t>2</w:t>
      </w:r>
      <w:r>
        <w:t>, H</w:t>
      </w:r>
      <w:r w:rsidR="00781C88">
        <w:t>.</w:t>
      </w:r>
      <w:r>
        <w:t xml:space="preserve"> H. Niemann</w:t>
      </w:r>
      <w:r w:rsidRPr="008B44AD">
        <w:rPr>
          <w:vertAlign w:val="superscript"/>
        </w:rPr>
        <w:t>1</w:t>
      </w:r>
    </w:p>
    <w:p w14:paraId="3540AC17" w14:textId="20509281" w:rsidR="00594729" w:rsidRDefault="001B455B">
      <w:pPr>
        <w:pStyle w:val="berschrift3"/>
      </w:pPr>
      <w:r>
        <w:rPr>
          <w:vertAlign w:val="superscript"/>
        </w:rPr>
        <w:t>1</w:t>
      </w:r>
      <w:r w:rsidR="008B44AD">
        <w:t>Structural Biochemistry, Department of Chemistry, Bielefeld University, Germany</w:t>
      </w:r>
      <w:r>
        <w:t xml:space="preserve">, </w:t>
      </w:r>
      <w:r>
        <w:rPr>
          <w:vertAlign w:val="superscript"/>
        </w:rPr>
        <w:t>2</w:t>
      </w:r>
      <w:r>
        <w:t>S</w:t>
      </w:r>
      <w:r w:rsidR="008B44AD">
        <w:t xml:space="preserve">cool of Chemistry and Institute for Life Sciences, University of Southampton, United Kingdom, </w:t>
      </w:r>
      <w:r w:rsidR="008B44AD" w:rsidRPr="008B44AD">
        <w:rPr>
          <w:vertAlign w:val="superscript"/>
        </w:rPr>
        <w:t>3</w:t>
      </w:r>
      <w:r w:rsidR="008B44AD">
        <w:t xml:space="preserve">Macromolecular Crystallography, Helmholtz-Zentrum Berlin, Germany, </w:t>
      </w:r>
      <w:r w:rsidR="008B44AD" w:rsidRPr="008B44AD">
        <w:rPr>
          <w:vertAlign w:val="superscript"/>
        </w:rPr>
        <w:t>4</w:t>
      </w:r>
      <w:r w:rsidR="008B44AD">
        <w:t>Biochemistry III, Department of Chemistry, Bielefeld University, Germany</w:t>
      </w:r>
    </w:p>
    <w:p w14:paraId="0D16B3AB" w14:textId="4A8903C9" w:rsidR="00594729" w:rsidRPr="003D51F0" w:rsidRDefault="008B44AD">
      <w:pPr>
        <w:pStyle w:val="berschrift3"/>
        <w:rPr>
          <w:sz w:val="18"/>
          <w:szCs w:val="18"/>
          <w:lang w:val="fr-FR"/>
        </w:rPr>
      </w:pPr>
      <w:r w:rsidRPr="003D51F0">
        <w:rPr>
          <w:lang w:val="fr-FR"/>
        </w:rPr>
        <w:t>julia.kowal</w:t>
      </w:r>
      <w:r w:rsidR="001B455B" w:rsidRPr="003D51F0">
        <w:rPr>
          <w:lang w:val="fr-FR"/>
        </w:rPr>
        <w:t>@</w:t>
      </w:r>
      <w:r w:rsidRPr="003D51F0">
        <w:rPr>
          <w:lang w:val="fr-FR"/>
        </w:rPr>
        <w:t>uni-bielefeld.de</w:t>
      </w:r>
      <w:r w:rsidR="001B455B" w:rsidRPr="003D51F0">
        <w:rPr>
          <w:lang w:val="fr-FR" w:eastAsia="de-DE"/>
        </w:rPr>
        <w:br/>
      </w:r>
    </w:p>
    <w:p w14:paraId="3AF75B46" w14:textId="409C1902" w:rsidR="00594729" w:rsidRDefault="008B44AD">
      <w:r>
        <w:t>Formylglycine-generating enzyme (FGE) is key to the posttranslational modification of the active site of all known sulfatases. By conversion of a cysteine to formylglycine, FGE activates the sulfatases in the endoplasmic reticulum. Missense mutations in the gene encoding FGE lead to catalytically impaired or unstable protein variants that are prone to degradation. The resulting lack of sulfatase modification leads to the rare disease known as multiple sulfatase deficiency (MSD)</w:t>
      </w:r>
      <w:r w:rsidR="003D51F0">
        <w:t xml:space="preserve"> </w:t>
      </w:r>
      <w:r>
        <w:t>[1]</w:t>
      </w:r>
      <w:r w:rsidR="003D51F0">
        <w:t>.</w:t>
      </w:r>
      <w:r w:rsidR="004D22CB">
        <w:t xml:space="preserve"> </w:t>
      </w:r>
      <w:r>
        <w:t>Here, we present up-to-date results from the first structure-based approach to stabilize mutated FGE variants and rescue their activity by development of pharmacological chaperones</w:t>
      </w:r>
      <w:r w:rsidR="003D51F0">
        <w:t xml:space="preserve"> </w:t>
      </w:r>
      <w:r>
        <w:t>[2]</w:t>
      </w:r>
      <w:r w:rsidR="003D51F0">
        <w:t>.</w:t>
      </w:r>
      <w:r>
        <w:t xml:space="preserve"> Preformed crystals of human FGE were soaked with &gt; 1000 small molecules from the F2X-Universal library, and additional compounds selected by ITC and DELT screening, to identify hits and interesting binding pockets on the enzyme surface</w:t>
      </w:r>
      <w:r w:rsidR="003D51F0">
        <w:t xml:space="preserve"> </w:t>
      </w:r>
      <w:r>
        <w:t>[3, 4]</w:t>
      </w:r>
      <w:r w:rsidR="003D51F0">
        <w:t>.</w:t>
      </w:r>
      <w:r>
        <w:t xml:space="preserve"> Data collection at BESSY beamlines 14.1 and 14.2 followed by data analysis in FragMAXapp</w:t>
      </w:r>
      <w:r w:rsidR="003D51F0">
        <w:t xml:space="preserve"> </w:t>
      </w:r>
      <w:r>
        <w:t xml:space="preserve">[5] revealed more than 60 unique fragment </w:t>
      </w:r>
      <w:r w:rsidR="003D51F0">
        <w:t>hits in up to seven interaction sites, including the active site of FGE</w:t>
      </w:r>
      <w:r w:rsidR="00781C88">
        <w:t xml:space="preserve"> (Fig. 1)</w:t>
      </w:r>
      <w:r w:rsidR="003D51F0">
        <w:t xml:space="preserve">. Two compounds with overlapping binding positions in site 2 were used for linking and synthesis of several follow-ups, based on the structural data. Data collection at DESY P13 revealed </w:t>
      </w:r>
      <w:r w:rsidR="00E9056D" w:rsidRPr="00E9056D">
        <w:rPr>
          <w:i/>
          <w:iCs/>
        </w:rPr>
        <w:t>F</w:t>
      </w:r>
      <w:r w:rsidR="00E9056D" w:rsidRPr="00E9056D">
        <w:rPr>
          <w:i/>
          <w:iCs/>
          <w:vertAlign w:val="subscript"/>
        </w:rPr>
        <w:t>o</w:t>
      </w:r>
      <w:r w:rsidR="00E9056D" w:rsidRPr="00E9056D">
        <w:rPr>
          <w:i/>
          <w:iCs/>
        </w:rPr>
        <w:t>-F</w:t>
      </w:r>
      <w:r w:rsidR="00E9056D" w:rsidRPr="00E9056D">
        <w:rPr>
          <w:i/>
          <w:iCs/>
          <w:vertAlign w:val="subscript"/>
        </w:rPr>
        <w:t>c</w:t>
      </w:r>
      <w:r w:rsidR="00E9056D">
        <w:t xml:space="preserve"> density </w:t>
      </w:r>
      <w:r w:rsidR="003D51F0">
        <w:t>for one of these follow-ups in a data set from a single crystal, which suggests stronger interaction with the enzyme. To evaluate whether the discovered hits and follow-up compounds stabilize the protein or not, we obtained first results from differential scanning fluorimetry experiments. Since DSF indicated destabilization of the enzyme by the first follow-ups, a different starting point was considered for ligand-design by merging and growing from overlapping fragment hit structures. Evaluation of structures obtained from the last part of the F2X-Universal library screen and synthesis of further optimized follow-up compounds is in progress.</w:t>
      </w:r>
    </w:p>
    <w:p w14:paraId="7D0066ED" w14:textId="131FFEE9" w:rsidR="00594729" w:rsidRDefault="004C30FB">
      <w:pPr>
        <w:jc w:val="center"/>
      </w:pPr>
      <w:r>
        <w:rPr>
          <w:noProof/>
        </w:rPr>
        <mc:AlternateContent>
          <mc:Choice Requires="wps">
            <w:drawing>
              <wp:anchor distT="0" distB="0" distL="114300" distR="114300" simplePos="0" relativeHeight="251657728" behindDoc="0" locked="0" layoutInCell="1" allowOverlap="1" wp14:anchorId="41659F14" wp14:editId="34727667">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338A2"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2CC1">
        <w:rPr>
          <w:noProof/>
        </w:rPr>
        <w:drawing>
          <wp:inline distT="0" distB="0" distL="0" distR="0" wp14:anchorId="012290BA" wp14:editId="6466F978">
            <wp:extent cx="3032398" cy="234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2398" cy="2340000"/>
                    </a:xfrm>
                    <a:prstGeom prst="rect">
                      <a:avLst/>
                    </a:prstGeom>
                    <a:noFill/>
                    <a:ln>
                      <a:noFill/>
                    </a:ln>
                  </pic:spPr>
                </pic:pic>
              </a:graphicData>
            </a:graphic>
          </wp:inline>
        </w:drawing>
      </w:r>
    </w:p>
    <w:p w14:paraId="13798ACF" w14:textId="050D18A8" w:rsidR="00594729" w:rsidRPr="00781C88" w:rsidRDefault="001B455B">
      <w:pPr>
        <w:pStyle w:val="berschrift6"/>
      </w:pPr>
      <w:r w:rsidRPr="00B65C94">
        <w:rPr>
          <w:b/>
          <w:lang w:val="de-DE"/>
        </w:rPr>
        <w:t>Figure 1</w:t>
      </w:r>
      <w:r w:rsidRPr="00B65C94">
        <w:rPr>
          <w:lang w:val="de-DE"/>
        </w:rPr>
        <w:t xml:space="preserve">. </w:t>
      </w:r>
      <w:r w:rsidR="00781C88">
        <w:t>FGE surface overlayed with identified fragment hits in their respective binding positions</w:t>
      </w:r>
      <w:r w:rsidRPr="00781C88">
        <w:t>.</w:t>
      </w:r>
    </w:p>
    <w:p w14:paraId="1ED074C5" w14:textId="3D643663" w:rsidR="00594729" w:rsidRPr="00781C88" w:rsidRDefault="00594729">
      <w:pPr>
        <w:rPr>
          <w:lang w:eastAsia="cs-CZ"/>
        </w:rPr>
      </w:pPr>
    </w:p>
    <w:p w14:paraId="3E1C7F5C" w14:textId="52DE5C30" w:rsidR="00594729" w:rsidRPr="004D22CB" w:rsidRDefault="001B455B">
      <w:pPr>
        <w:pStyle w:val="berschrift4"/>
      </w:pPr>
      <w:r w:rsidRPr="004D22CB">
        <w:rPr>
          <w:lang w:val="de-DE"/>
        </w:rPr>
        <w:t>[</w:t>
      </w:r>
      <w:r w:rsidRPr="004D22CB">
        <w:rPr>
          <w:lang w:val="de-DE"/>
        </w:rPr>
        <w:t xml:space="preserve">1] </w:t>
      </w:r>
      <w:r w:rsidR="00C135F3" w:rsidRPr="004D22CB">
        <w:rPr>
          <w:lang w:val="de-DE"/>
        </w:rPr>
        <w:t>Dierks</w:t>
      </w:r>
      <w:r w:rsidR="00B65C94" w:rsidRPr="004D22CB">
        <w:rPr>
          <w:lang w:val="de-DE"/>
        </w:rPr>
        <w:t>,</w:t>
      </w:r>
      <w:r w:rsidR="00C135F3" w:rsidRPr="004D22CB">
        <w:rPr>
          <w:lang w:val="de-DE"/>
        </w:rPr>
        <w:t xml:space="preserve"> T., Dickmanns</w:t>
      </w:r>
      <w:r w:rsidR="00B65C94" w:rsidRPr="004D22CB">
        <w:rPr>
          <w:lang w:val="de-DE"/>
        </w:rPr>
        <w:t>,</w:t>
      </w:r>
      <w:r w:rsidR="00C135F3" w:rsidRPr="004D22CB">
        <w:rPr>
          <w:lang w:val="de-DE"/>
        </w:rPr>
        <w:t xml:space="preserve"> A., Preusser-Kunze</w:t>
      </w:r>
      <w:r w:rsidR="00B65C94" w:rsidRPr="004D22CB">
        <w:rPr>
          <w:lang w:val="de-DE"/>
        </w:rPr>
        <w:t>,</w:t>
      </w:r>
      <w:r w:rsidR="00C135F3" w:rsidRPr="004D22CB">
        <w:rPr>
          <w:lang w:val="de-DE"/>
        </w:rPr>
        <w:t xml:space="preserve"> A., Schmidt</w:t>
      </w:r>
      <w:r w:rsidR="00B65C94" w:rsidRPr="004D22CB">
        <w:rPr>
          <w:lang w:val="de-DE"/>
        </w:rPr>
        <w:t>,</w:t>
      </w:r>
      <w:r w:rsidR="00C135F3" w:rsidRPr="004D22CB">
        <w:rPr>
          <w:lang w:val="de-DE"/>
        </w:rPr>
        <w:t xml:space="preserve"> B., Mariappan</w:t>
      </w:r>
      <w:r w:rsidR="00B65C94" w:rsidRPr="004D22CB">
        <w:rPr>
          <w:lang w:val="de-DE"/>
        </w:rPr>
        <w:t>,</w:t>
      </w:r>
      <w:r w:rsidR="00C135F3" w:rsidRPr="004D22CB">
        <w:rPr>
          <w:lang w:val="de-DE"/>
        </w:rPr>
        <w:t xml:space="preserve"> M. von Figura</w:t>
      </w:r>
      <w:r w:rsidR="00B65C94" w:rsidRPr="004D22CB">
        <w:rPr>
          <w:lang w:val="de-DE"/>
        </w:rPr>
        <w:t>,</w:t>
      </w:r>
      <w:r w:rsidR="00C135F3" w:rsidRPr="004D22CB">
        <w:rPr>
          <w:lang w:val="de-DE"/>
        </w:rPr>
        <w:t xml:space="preserve"> K., Ficner</w:t>
      </w:r>
      <w:r w:rsidR="00B65C94" w:rsidRPr="004D22CB">
        <w:rPr>
          <w:lang w:val="de-DE"/>
        </w:rPr>
        <w:t>,</w:t>
      </w:r>
      <w:r w:rsidR="00C135F3" w:rsidRPr="004D22CB">
        <w:rPr>
          <w:lang w:val="de-DE"/>
        </w:rPr>
        <w:t xml:space="preserve"> R., Rudolph</w:t>
      </w:r>
      <w:r w:rsidR="00B65C94" w:rsidRPr="004D22CB">
        <w:rPr>
          <w:lang w:val="de-DE"/>
        </w:rPr>
        <w:t>,</w:t>
      </w:r>
      <w:r w:rsidR="00C135F3" w:rsidRPr="004D22CB">
        <w:rPr>
          <w:lang w:val="de-DE"/>
        </w:rPr>
        <w:t xml:space="preserve"> M. G.</w:t>
      </w:r>
      <w:r w:rsidRPr="004D22CB">
        <w:rPr>
          <w:lang w:val="de-DE"/>
        </w:rPr>
        <w:t xml:space="preserve"> (</w:t>
      </w:r>
      <w:r w:rsidR="00C135F3" w:rsidRPr="004D22CB">
        <w:rPr>
          <w:lang w:val="de-DE"/>
        </w:rPr>
        <w:t>2005</w:t>
      </w:r>
      <w:r w:rsidRPr="004D22CB">
        <w:rPr>
          <w:lang w:val="de-DE"/>
        </w:rPr>
        <w:t xml:space="preserve">). </w:t>
      </w:r>
      <w:r w:rsidR="00C135F3" w:rsidRPr="004D22CB">
        <w:rPr>
          <w:i/>
        </w:rPr>
        <w:t>Cell</w:t>
      </w:r>
      <w:r w:rsidRPr="004D22CB">
        <w:rPr>
          <w:i/>
        </w:rPr>
        <w:t>.</w:t>
      </w:r>
      <w:r w:rsidRPr="004D22CB">
        <w:t xml:space="preserve"> </w:t>
      </w:r>
      <w:r w:rsidR="00C135F3" w:rsidRPr="004D22CB">
        <w:rPr>
          <w:b/>
        </w:rPr>
        <w:t>121(4)</w:t>
      </w:r>
      <w:r w:rsidRPr="004D22CB">
        <w:t xml:space="preserve">, </w:t>
      </w:r>
      <w:r w:rsidR="00C135F3" w:rsidRPr="004D22CB">
        <w:t>541-552</w:t>
      </w:r>
      <w:r w:rsidRPr="004D22CB">
        <w:t>.</w:t>
      </w:r>
    </w:p>
    <w:p w14:paraId="664EC56F" w14:textId="3E7623E5" w:rsidR="00594729" w:rsidRPr="00C135F3" w:rsidRDefault="001B455B">
      <w:pPr>
        <w:pStyle w:val="berschrift4"/>
        <w:rPr>
          <w:lang w:val="de-DE"/>
        </w:rPr>
      </w:pPr>
      <w:r w:rsidRPr="00C135F3">
        <w:t xml:space="preserve">[2] </w:t>
      </w:r>
      <w:r w:rsidR="00C135F3" w:rsidRPr="00C135F3">
        <w:t>Liguori</w:t>
      </w:r>
      <w:r w:rsidR="00B65C94">
        <w:t>,</w:t>
      </w:r>
      <w:r w:rsidR="00C135F3" w:rsidRPr="00C135F3">
        <w:t xml:space="preserve"> L., Monticelli</w:t>
      </w:r>
      <w:r w:rsidR="00B65C94">
        <w:t>,</w:t>
      </w:r>
      <w:r w:rsidR="00C135F3" w:rsidRPr="00C135F3">
        <w:t xml:space="preserve"> M.</w:t>
      </w:r>
      <w:r w:rsidR="00C135F3">
        <w:t>, Allocca</w:t>
      </w:r>
      <w:r w:rsidR="00B65C94">
        <w:t>,</w:t>
      </w:r>
      <w:r w:rsidR="00C135F3">
        <w:t xml:space="preserve"> M., Hay Mele</w:t>
      </w:r>
      <w:r w:rsidR="00B65C94">
        <w:t>,</w:t>
      </w:r>
      <w:r w:rsidR="00C135F3">
        <w:t xml:space="preserve"> B., Lukas</w:t>
      </w:r>
      <w:r w:rsidR="00B65C94">
        <w:t>,</w:t>
      </w:r>
      <w:r w:rsidR="00C135F3">
        <w:t xml:space="preserve"> J., Cubellis</w:t>
      </w:r>
      <w:r w:rsidR="00B65C94">
        <w:t>,</w:t>
      </w:r>
      <w:r w:rsidR="00C135F3">
        <w:t xml:space="preserve"> M. V., Andreotti</w:t>
      </w:r>
      <w:r w:rsidR="00B65C94">
        <w:t>,</w:t>
      </w:r>
      <w:r w:rsidR="00C135F3">
        <w:t xml:space="preserve"> G.</w:t>
      </w:r>
      <w:r w:rsidRPr="00C135F3">
        <w:t xml:space="preserve"> (</w:t>
      </w:r>
      <w:r w:rsidR="00C135F3" w:rsidRPr="00C135F3">
        <w:t>2020</w:t>
      </w:r>
      <w:r w:rsidRPr="00C135F3">
        <w:t xml:space="preserve">). </w:t>
      </w:r>
      <w:r w:rsidR="00C135F3" w:rsidRPr="00C135F3">
        <w:rPr>
          <w:i/>
          <w:lang w:val="de-DE"/>
        </w:rPr>
        <w:t>Int J Mol Sci</w:t>
      </w:r>
      <w:r w:rsidRPr="00C135F3">
        <w:rPr>
          <w:i/>
          <w:lang w:val="de-DE"/>
        </w:rPr>
        <w:t>.</w:t>
      </w:r>
      <w:r w:rsidRPr="00C135F3">
        <w:rPr>
          <w:lang w:val="de-DE"/>
        </w:rPr>
        <w:t xml:space="preserve"> </w:t>
      </w:r>
      <w:r w:rsidR="00C135F3" w:rsidRPr="00C135F3">
        <w:rPr>
          <w:b/>
          <w:lang w:val="de-DE"/>
        </w:rPr>
        <w:t>21(2)</w:t>
      </w:r>
      <w:r w:rsidRPr="00C135F3">
        <w:rPr>
          <w:lang w:val="de-DE"/>
        </w:rPr>
        <w:t xml:space="preserve">, </w:t>
      </w:r>
      <w:r w:rsidR="00C135F3" w:rsidRPr="00C135F3">
        <w:rPr>
          <w:lang w:val="de-DE"/>
        </w:rPr>
        <w:t>489</w:t>
      </w:r>
      <w:r w:rsidRPr="00C135F3">
        <w:rPr>
          <w:lang w:val="de-DE"/>
        </w:rPr>
        <w:t>.</w:t>
      </w:r>
    </w:p>
    <w:p w14:paraId="76F92B6E" w14:textId="3E7CA811" w:rsidR="00594729" w:rsidRPr="00C135F3" w:rsidRDefault="001B455B">
      <w:pPr>
        <w:pStyle w:val="berschrift4"/>
        <w:rPr>
          <w:lang w:val="de-DE"/>
        </w:rPr>
      </w:pPr>
      <w:r w:rsidRPr="00C135F3">
        <w:rPr>
          <w:lang w:val="de-DE"/>
        </w:rPr>
        <w:t xml:space="preserve">[3] </w:t>
      </w:r>
      <w:r w:rsidR="00C135F3" w:rsidRPr="00C135F3">
        <w:rPr>
          <w:lang w:val="de-DE"/>
        </w:rPr>
        <w:t>Wollenhaupt</w:t>
      </w:r>
      <w:r w:rsidR="00B65C94">
        <w:rPr>
          <w:lang w:val="de-DE"/>
        </w:rPr>
        <w:t>,</w:t>
      </w:r>
      <w:r w:rsidR="00C135F3" w:rsidRPr="00C135F3">
        <w:rPr>
          <w:lang w:val="de-DE"/>
        </w:rPr>
        <w:t xml:space="preserve"> J., Metz</w:t>
      </w:r>
      <w:r w:rsidR="00B65C94">
        <w:rPr>
          <w:lang w:val="de-DE"/>
        </w:rPr>
        <w:t>,</w:t>
      </w:r>
      <w:r w:rsidR="00C135F3" w:rsidRPr="00C135F3">
        <w:rPr>
          <w:lang w:val="de-DE"/>
        </w:rPr>
        <w:t xml:space="preserve"> A.</w:t>
      </w:r>
      <w:r w:rsidR="00C135F3">
        <w:rPr>
          <w:lang w:val="de-DE"/>
        </w:rPr>
        <w:t>, Barthel</w:t>
      </w:r>
      <w:r w:rsidR="00B65C94">
        <w:rPr>
          <w:lang w:val="de-DE"/>
        </w:rPr>
        <w:t>,</w:t>
      </w:r>
      <w:r w:rsidR="00C135F3">
        <w:rPr>
          <w:lang w:val="de-DE"/>
        </w:rPr>
        <w:t xml:space="preserve"> T., Lima</w:t>
      </w:r>
      <w:r w:rsidR="00B65C94">
        <w:rPr>
          <w:lang w:val="de-DE"/>
        </w:rPr>
        <w:t>,</w:t>
      </w:r>
      <w:r w:rsidR="00C135F3">
        <w:rPr>
          <w:lang w:val="de-DE"/>
        </w:rPr>
        <w:t xml:space="preserve"> G. M. A., Heine</w:t>
      </w:r>
      <w:r w:rsidR="00B65C94">
        <w:rPr>
          <w:lang w:val="de-DE"/>
        </w:rPr>
        <w:t>,</w:t>
      </w:r>
      <w:r w:rsidR="00C135F3">
        <w:rPr>
          <w:lang w:val="de-DE"/>
        </w:rPr>
        <w:t xml:space="preserve"> A., Mueller</w:t>
      </w:r>
      <w:r w:rsidR="00B65C94">
        <w:rPr>
          <w:lang w:val="de-DE"/>
        </w:rPr>
        <w:t>,</w:t>
      </w:r>
      <w:r w:rsidR="00C135F3">
        <w:rPr>
          <w:lang w:val="de-DE"/>
        </w:rPr>
        <w:t xml:space="preserve"> U.</w:t>
      </w:r>
      <w:r w:rsidR="00B65C94">
        <w:rPr>
          <w:lang w:val="de-DE"/>
        </w:rPr>
        <w:t>, Klebe, G., Weiss, M. S.</w:t>
      </w:r>
      <w:r w:rsidRPr="00C135F3">
        <w:rPr>
          <w:lang w:val="de-DE"/>
        </w:rPr>
        <w:t xml:space="preserve"> (</w:t>
      </w:r>
      <w:r w:rsidR="00C135F3" w:rsidRPr="00C135F3">
        <w:rPr>
          <w:lang w:val="de-DE"/>
        </w:rPr>
        <w:t>2020</w:t>
      </w:r>
      <w:r w:rsidRPr="00C135F3">
        <w:rPr>
          <w:lang w:val="de-DE"/>
        </w:rPr>
        <w:t xml:space="preserve">). </w:t>
      </w:r>
      <w:r w:rsidR="00C135F3" w:rsidRPr="00C135F3">
        <w:rPr>
          <w:i/>
          <w:lang w:val="de-DE"/>
        </w:rPr>
        <w:t>Structure</w:t>
      </w:r>
      <w:r w:rsidR="00C135F3" w:rsidRPr="00C135F3">
        <w:rPr>
          <w:lang w:val="de-DE"/>
        </w:rPr>
        <w:t xml:space="preserve">. </w:t>
      </w:r>
      <w:r w:rsidR="00C135F3" w:rsidRPr="00C135F3">
        <w:rPr>
          <w:b/>
          <w:bCs w:val="0"/>
          <w:lang w:val="de-DE"/>
        </w:rPr>
        <w:t>28(6)</w:t>
      </w:r>
      <w:r w:rsidR="00C135F3" w:rsidRPr="00C135F3">
        <w:rPr>
          <w:lang w:val="de-DE"/>
        </w:rPr>
        <w:t>, 694-706.e5</w:t>
      </w:r>
      <w:r w:rsidRPr="00C135F3">
        <w:rPr>
          <w:lang w:val="de-DE"/>
        </w:rPr>
        <w:t>.</w:t>
      </w:r>
    </w:p>
    <w:p w14:paraId="500421AE" w14:textId="3B936D7C" w:rsidR="00594729" w:rsidRPr="00B65C94" w:rsidRDefault="001B455B">
      <w:pPr>
        <w:pStyle w:val="berschrift4"/>
        <w:rPr>
          <w:lang w:val="de-DE"/>
        </w:rPr>
      </w:pPr>
      <w:r w:rsidRPr="008B44AD">
        <w:rPr>
          <w:lang w:val="de-DE"/>
        </w:rPr>
        <w:t xml:space="preserve">[4] </w:t>
      </w:r>
      <w:r w:rsidR="00B65C94">
        <w:rPr>
          <w:lang w:val="de-DE"/>
        </w:rPr>
        <w:t>Wollenhaupt, J., Barthel, T., Lima, G. M. A., Metz, A., Wallacher, D., Jagudin, E., Huschmann, F. U., Hauß, T., Feiler, C. G., Gerlach, M., Hellmig, M., Förster, R., Steffien, M., Heine, A., Klebe, G., Mueller, U., Weiss, M. S.</w:t>
      </w:r>
      <w:r w:rsidRPr="008B44AD">
        <w:rPr>
          <w:lang w:val="de-DE"/>
        </w:rPr>
        <w:t xml:space="preserve"> (</w:t>
      </w:r>
      <w:r w:rsidR="00B65C94">
        <w:rPr>
          <w:lang w:val="de-DE"/>
        </w:rPr>
        <w:t>2021</w:t>
      </w:r>
      <w:r w:rsidRPr="008B44AD">
        <w:rPr>
          <w:lang w:val="de-DE"/>
        </w:rPr>
        <w:t xml:space="preserve">). </w:t>
      </w:r>
      <w:r w:rsidR="00B65C94" w:rsidRPr="00B65C94">
        <w:rPr>
          <w:i/>
          <w:lang w:val="de-DE"/>
        </w:rPr>
        <w:t>JoVE</w:t>
      </w:r>
      <w:r w:rsidRPr="00B65C94">
        <w:rPr>
          <w:lang w:val="de-DE"/>
        </w:rPr>
        <w:t xml:space="preserve">, </w:t>
      </w:r>
      <w:r w:rsidR="00B65C94" w:rsidRPr="00B65C94">
        <w:rPr>
          <w:b/>
          <w:bCs w:val="0"/>
          <w:lang w:val="de-DE"/>
        </w:rPr>
        <w:t>169</w:t>
      </w:r>
      <w:r w:rsidR="00B65C94" w:rsidRPr="00B65C94">
        <w:rPr>
          <w:lang w:val="de-DE"/>
        </w:rPr>
        <w:t>, e62208.</w:t>
      </w:r>
    </w:p>
    <w:p w14:paraId="54A3325E" w14:textId="25C9890C" w:rsidR="00BD2CC1" w:rsidRPr="00781C88" w:rsidRDefault="00B65C94" w:rsidP="00781C88">
      <w:pPr>
        <w:pStyle w:val="berschrift4"/>
        <w:rPr>
          <w:lang w:val="de-DE"/>
        </w:rPr>
      </w:pPr>
      <w:r w:rsidRPr="00781C88">
        <w:rPr>
          <w:lang w:val="de-DE"/>
        </w:rPr>
        <w:t>[</w:t>
      </w:r>
      <w:r w:rsidRPr="00781C88">
        <w:rPr>
          <w:lang w:val="de-DE"/>
        </w:rPr>
        <w:t>5] Lima, G. M. A., Jagudin, E., Talibov, V. O., Benz, L. S., Marullo, C., Barthel, T., Wollenhaupt, J., Weiss, M. S. and Mueller, U. (2021)</w:t>
      </w:r>
      <w:r w:rsidR="00781C88">
        <w:rPr>
          <w:lang w:val="de-DE"/>
        </w:rPr>
        <w:t xml:space="preserve">. </w:t>
      </w:r>
      <w:r w:rsidR="00781C88" w:rsidRPr="00781C88">
        <w:rPr>
          <w:i/>
          <w:iCs/>
          <w:lang w:val="de-DE"/>
        </w:rPr>
        <w:t>Acta Cryst D</w:t>
      </w:r>
      <w:r w:rsidR="00781C88">
        <w:rPr>
          <w:lang w:val="de-DE"/>
        </w:rPr>
        <w:t xml:space="preserve">. </w:t>
      </w:r>
      <w:r w:rsidR="00781C88" w:rsidRPr="00781C88">
        <w:rPr>
          <w:b/>
          <w:lang w:val="de-DE"/>
        </w:rPr>
        <w:t>77</w:t>
      </w:r>
      <w:r w:rsidR="00781C88">
        <w:rPr>
          <w:lang w:val="de-DE"/>
        </w:rPr>
        <w:t>, 799-808.</w:t>
      </w:r>
    </w:p>
    <w:sectPr w:rsidR="00BD2CC1" w:rsidRPr="00781C88">
      <w:headerReference w:type="even" r:id="rId8"/>
      <w:headerReference w:type="default" r:id="rId9"/>
      <w:footerReference w:type="even" r:id="rId10"/>
      <w:footerReference w:type="default" r:id="rId11"/>
      <w:headerReference w:type="first" r:id="rId12"/>
      <w:footerReference w:type="first" r:id="rId13"/>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D123" w14:textId="77777777" w:rsidR="001B455B" w:rsidRDefault="001B455B">
      <w:pPr>
        <w:spacing w:after="0"/>
      </w:pPr>
      <w:r>
        <w:separator/>
      </w:r>
    </w:p>
  </w:endnote>
  <w:endnote w:type="continuationSeparator" w:id="0">
    <w:p w14:paraId="194B5330" w14:textId="77777777" w:rsidR="001B455B" w:rsidRDefault="001B45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ED46" w14:textId="77777777" w:rsidR="008B44AD" w:rsidRDefault="008B44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8921" w14:textId="7E3BF12E" w:rsidR="00594729" w:rsidRDefault="00594729">
    <w:pPr>
      <w:pStyle w:val="Fuzeile"/>
    </w:pPr>
  </w:p>
  <w:p w14:paraId="1C2C9910" w14:textId="77777777" w:rsidR="004D22CB" w:rsidRDefault="004D22CB" w:rsidP="004D22CB">
    <w:pPr>
      <w:pStyle w:val="Fuzeile"/>
    </w:pPr>
    <w:r>
      <w:t>Acta Cryst. (2025). A81, e1</w:t>
    </w:r>
  </w:p>
  <w:p w14:paraId="381264C5" w14:textId="77777777" w:rsidR="00594729" w:rsidRDefault="00594729">
    <w:pPr>
      <w:tabs>
        <w:tab w:val="center" w:pos="4703"/>
        <w:tab w:val="right" w:pos="94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5276" w14:textId="77777777" w:rsidR="008B44AD" w:rsidRDefault="008B44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5E7C" w14:textId="77777777" w:rsidR="001B455B" w:rsidRDefault="001B455B">
      <w:pPr>
        <w:spacing w:after="0"/>
      </w:pPr>
      <w:r>
        <w:separator/>
      </w:r>
    </w:p>
  </w:footnote>
  <w:footnote w:type="continuationSeparator" w:id="0">
    <w:p w14:paraId="7625A278" w14:textId="77777777" w:rsidR="001B455B" w:rsidRDefault="001B45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B5DC" w14:textId="77777777" w:rsidR="008B44AD" w:rsidRDefault="008B44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E1BC" w14:textId="39D201F1" w:rsidR="00594729" w:rsidRDefault="001B455B">
    <w:pPr>
      <w:tabs>
        <w:tab w:val="center" w:pos="4703"/>
        <w:tab w:val="right" w:pos="9406"/>
      </w:tabs>
    </w:pPr>
    <w:r>
      <w:rPr>
        <w:b/>
        <w:bCs/>
      </w:rPr>
      <w:t>MS</w:t>
    </w:r>
    <w:r w:rsidR="00BD2CC1">
      <w:rPr>
        <w:b/>
        <w:bCs/>
      </w:rPr>
      <w:t>6</w:t>
    </w:r>
    <w:r>
      <w:tab/>
    </w:r>
    <w:r w:rsidR="00BD2CC1">
      <w:t>Fragment screening and structural based drug discovery</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8F1" w14:textId="77777777" w:rsidR="008B44AD" w:rsidRDefault="008B44A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29"/>
    <w:rsid w:val="001B455B"/>
    <w:rsid w:val="003D51F0"/>
    <w:rsid w:val="004C30FB"/>
    <w:rsid w:val="004D22CB"/>
    <w:rsid w:val="00594729"/>
    <w:rsid w:val="00781C88"/>
    <w:rsid w:val="008B44AD"/>
    <w:rsid w:val="00AB6FED"/>
    <w:rsid w:val="00B65C94"/>
    <w:rsid w:val="00BD2CC1"/>
    <w:rsid w:val="00C135F3"/>
    <w:rsid w:val="00E9056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32ACF"/>
  <w15:docId w15:val="{84DF88D0-7278-4B9A-9CE7-CEEC17FE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D51F0"/>
    <w:rPr>
      <w:color w:val="0563C1" w:themeColor="hyperlink"/>
      <w:u w:val="single"/>
    </w:rPr>
  </w:style>
  <w:style w:type="character" w:styleId="NichtaufgelsteErwhnung">
    <w:name w:val="Unresolved Mention"/>
    <w:basedOn w:val="Absatz-Standardschriftart"/>
    <w:uiPriority w:val="99"/>
    <w:semiHidden/>
    <w:unhideWhenUsed/>
    <w:rsid w:val="003D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Kowal, Julia</cp:lastModifiedBy>
  <cp:revision>5</cp:revision>
  <dcterms:created xsi:type="dcterms:W3CDTF">2025-05-20T13:40:00Z</dcterms:created>
  <dcterms:modified xsi:type="dcterms:W3CDTF">2025-05-20T14:17:00Z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