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96FF" w14:textId="38E89DA3" w:rsidR="009A4D1A" w:rsidRDefault="00CB15ED">
      <w:pPr>
        <w:pStyle w:val="Nagwek1"/>
      </w:pPr>
      <w:r>
        <w:t xml:space="preserve">Synergistic </w:t>
      </w:r>
      <w:r w:rsidR="00986552">
        <w:t>i</w:t>
      </w:r>
      <w:r>
        <w:t xml:space="preserve">nsights from </w:t>
      </w:r>
      <w:r w:rsidR="00E31227">
        <w:t xml:space="preserve">crystallographic and </w:t>
      </w:r>
      <w:r w:rsidR="003927C3">
        <w:t>microcalorimetric</w:t>
      </w:r>
      <w:r w:rsidR="00E31227">
        <w:t xml:space="preserve"> </w:t>
      </w:r>
      <w:r w:rsidR="00986552">
        <w:t>s</w:t>
      </w:r>
      <w:r>
        <w:t>tudies</w:t>
      </w:r>
      <w:r w:rsidR="003927C3">
        <w:t xml:space="preserve"> in solution</w:t>
      </w:r>
      <w:r>
        <w:t xml:space="preserve">: </w:t>
      </w:r>
      <w:r w:rsidR="00986552">
        <w:t>a</w:t>
      </w:r>
      <w:r>
        <w:t xml:space="preserve"> </w:t>
      </w:r>
      <w:r w:rsidR="00986552">
        <w:t>c</w:t>
      </w:r>
      <w:r>
        <w:t xml:space="preserve">ase of </w:t>
      </w:r>
      <w:r w:rsidR="00E31227" w:rsidRPr="00E31227">
        <w:rPr>
          <w:i/>
          <w:iCs/>
        </w:rPr>
        <w:t>R. etli</w:t>
      </w:r>
      <w:r>
        <w:t xml:space="preserve"> </w:t>
      </w:r>
      <w:r w:rsidR="00986552">
        <w:t>a</w:t>
      </w:r>
      <w:r>
        <w:t>sparaginases</w:t>
      </w:r>
      <w:r>
        <w:t xml:space="preserve"> </w:t>
      </w:r>
    </w:p>
    <w:p w14:paraId="726FB570" w14:textId="603C64BF" w:rsidR="009A4D1A" w:rsidRPr="00CB15ED" w:rsidRDefault="00CB15ED">
      <w:pPr>
        <w:pStyle w:val="Nagwek2"/>
        <w:rPr>
          <w:lang w:val="pl-PL"/>
        </w:rPr>
      </w:pPr>
      <w:r w:rsidRPr="00CB15ED">
        <w:rPr>
          <w:lang w:val="pl-PL"/>
        </w:rPr>
        <w:t>J. Sliwiak</w:t>
      </w:r>
      <w:r w:rsidR="004F174D" w:rsidRPr="00CB15ED">
        <w:rPr>
          <w:vertAlign w:val="superscript"/>
          <w:lang w:val="pl-PL"/>
        </w:rPr>
        <w:t>1</w:t>
      </w:r>
      <w:r w:rsidR="004F174D" w:rsidRPr="00CB15ED">
        <w:rPr>
          <w:lang w:val="pl-PL"/>
        </w:rPr>
        <w:t xml:space="preserve">, </w:t>
      </w:r>
      <w:r w:rsidRPr="00CB15ED">
        <w:rPr>
          <w:lang w:val="pl-PL"/>
        </w:rPr>
        <w:t>M. Grzechowiak</w:t>
      </w:r>
      <w:r w:rsidR="004F174D" w:rsidRPr="00CB15ED">
        <w:rPr>
          <w:vertAlign w:val="superscript"/>
          <w:lang w:val="pl-PL"/>
        </w:rPr>
        <w:t>1</w:t>
      </w:r>
      <w:r w:rsidR="004F174D" w:rsidRPr="00CB15ED">
        <w:rPr>
          <w:lang w:val="pl-PL"/>
        </w:rPr>
        <w:t>,</w:t>
      </w:r>
      <w:r>
        <w:rPr>
          <w:lang w:val="pl-PL"/>
        </w:rPr>
        <w:t xml:space="preserve"> </w:t>
      </w:r>
      <w:r w:rsidR="00C123EA">
        <w:rPr>
          <w:lang w:val="pl-PL"/>
        </w:rPr>
        <w:t>K. Pokrywka</w:t>
      </w:r>
      <w:r w:rsidR="00C123EA">
        <w:rPr>
          <w:lang w:val="pl-PL"/>
        </w:rPr>
        <w:t xml:space="preserve">, </w:t>
      </w:r>
      <w:r>
        <w:rPr>
          <w:lang w:val="pl-PL"/>
        </w:rPr>
        <w:t>P. Worsztynowicz,  M. Ruszkowski, M., Gilski, M. Jaskolski</w:t>
      </w:r>
    </w:p>
    <w:p w14:paraId="42906CD1" w14:textId="77777777" w:rsidR="009A4D1A" w:rsidRDefault="004F174D">
      <w:pPr>
        <w:pStyle w:val="Nagwek3"/>
      </w:pPr>
      <w:r>
        <w:rPr>
          <w:vertAlign w:val="superscript"/>
        </w:rPr>
        <w:t>1</w:t>
      </w:r>
      <w:r>
        <w:t xml:space="preserve">First affiliation, address (Heading 3 style, Times New Roman 10pt, italic), </w:t>
      </w:r>
      <w:r>
        <w:rPr>
          <w:vertAlign w:val="superscript"/>
        </w:rPr>
        <w:t>2</w:t>
      </w:r>
      <w:r>
        <w:t>Second affiliation, address (Heading 3 style)</w:t>
      </w:r>
    </w:p>
    <w:p w14:paraId="39AB73C1" w14:textId="77777777" w:rsidR="009A4D1A" w:rsidRDefault="004F174D">
      <w:pPr>
        <w:pStyle w:val="Nagwek3"/>
        <w:rPr>
          <w:sz w:val="18"/>
          <w:szCs w:val="18"/>
        </w:rPr>
      </w:pPr>
      <w:r>
        <w:t>Email of communicating author@institution.org (Heading 3 style)</w:t>
      </w:r>
      <w:r>
        <w:rPr>
          <w:lang w:eastAsia="de-DE"/>
        </w:rPr>
        <w:br/>
      </w:r>
    </w:p>
    <w:p w14:paraId="0E200799" w14:textId="0AE0A8B8" w:rsidR="00C349CB" w:rsidRDefault="00C123EA" w:rsidP="00C349CB">
      <w:r w:rsidRPr="00C123EA">
        <w:t>L-Asparaginases hydrolyze asparagine into ammonia and aspartic acid. They are divided into 3 structural classes and can exhibit substrate affinity ranging from low micromolar to high millimolar, as well as co-activities towards other substrates, such as L-glutamine or β-aspartyl peptides. There are also reports about their ability to process substrates like urea or acrylamide. Certain asparaginases are of medicinal or industrial importance as powerful drugs in the treatment of acute lymphoblastic leukemia or for reducing harmful acrylamide levels in processed food by decreasing the asparagine pool before heat processing.  The focus of our studies is on rhizobial representatives of the novel Class 3 asparaginases (the constitutive ReaIV and inducible ReAV), which are metalloenzymes with no similarity to other asparaginases. As research tools, we combine X-ray crystallography with microcalorimetry (ITC), which has become a widespread method for studying not only molecular interactions but also enzyme kinetics.</w:t>
      </w:r>
      <w:r w:rsidR="000A349D" w:rsidRPr="00C123EA">
        <w:rPr>
          <w:noProof/>
        </w:rPr>
        <mc:AlternateContent>
          <mc:Choice Requires="wps">
            <w:drawing>
              <wp:anchor distT="0" distB="0" distL="114300" distR="114300" simplePos="0" relativeHeight="251657728" behindDoc="0" locked="0" layoutInCell="1" allowOverlap="1" wp14:anchorId="0ED3889A" wp14:editId="208AE0D9">
                <wp:simplePos x="0" y="0"/>
                <wp:positionH relativeFrom="column">
                  <wp:posOffset>0</wp:posOffset>
                </wp:positionH>
                <wp:positionV relativeFrom="paragraph">
                  <wp:posOffset>0</wp:posOffset>
                </wp:positionV>
                <wp:extent cx="635000" cy="635000"/>
                <wp:effectExtent l="0" t="0" r="3175" b="3175"/>
                <wp:wrapNone/>
                <wp:docPr id="3"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615D0"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HjdDNDuAQAAyQMAAA4AAAAAAAAAAAAAAAAALgIAAGRycy9lMm9Eb2MueG1s&#10;UEsBAi0AFAAGAAgAAAAhAIZbh9XYAAAABQEAAA8AAAAAAAAAAAAAAAAASAQAAGRycy9kb3ducmV2&#10;LnhtbFBLBQYAAAAABAAEAPMAAABNBQAAAAA=&#10;" filled="f" stroked="f">
                <o:lock v:ext="edit" aspectratio="t" selection="t"/>
              </v:rect>
            </w:pict>
          </mc:Fallback>
        </mc:AlternateContent>
      </w:r>
      <w:r w:rsidR="00D540D7">
        <w:t xml:space="preserve"> Such approach not only helped to structurally explain the nature </w:t>
      </w:r>
      <w:r w:rsidR="003927C3">
        <w:t xml:space="preserve">of  </w:t>
      </w:r>
      <w:r w:rsidR="003927C3" w:rsidRPr="003927C3">
        <w:t>s</w:t>
      </w:r>
      <w:r w:rsidR="003927C3" w:rsidRPr="003927C3">
        <w:rPr>
          <w:lang w:val="en-US"/>
        </w:rPr>
        <w:t>erendipitous acrylamide reaction</w:t>
      </w:r>
      <w:r w:rsidR="003927C3">
        <w:rPr>
          <w:lang w:val="en-US"/>
        </w:rPr>
        <w:t xml:space="preserve"> </w:t>
      </w:r>
      <w:r w:rsidR="00D540D7">
        <w:t xml:space="preserve">of ReAIV monitored by </w:t>
      </w:r>
      <w:r w:rsidR="00C349CB">
        <w:t>ITC</w:t>
      </w:r>
      <w:r w:rsidR="00D540D7">
        <w:t xml:space="preserve">, but also helped to </w:t>
      </w:r>
      <w:r w:rsidR="003927C3">
        <w:t xml:space="preserve">establish conditions </w:t>
      </w:r>
      <w:r w:rsidR="00D540D7">
        <w:t xml:space="preserve">sufficient to obtain </w:t>
      </w:r>
      <w:r w:rsidR="003927C3">
        <w:t xml:space="preserve">a crystalline complex of ReAV with </w:t>
      </w:r>
      <w:r w:rsidR="00C349CB">
        <w:t xml:space="preserve">a </w:t>
      </w:r>
      <w:r w:rsidR="003927C3">
        <w:t>substrate or explain</w:t>
      </w:r>
      <w:r w:rsidR="00C349CB" w:rsidRPr="00C349CB">
        <w:t xml:space="preserve"> the differences in the effect of the reaction product</w:t>
      </w:r>
      <w:r w:rsidR="00C349CB">
        <w:t>s</w:t>
      </w:r>
      <w:r w:rsidR="00C349CB" w:rsidRPr="00C349CB">
        <w:t xml:space="preserve"> on the kinetics of both isoforms</w:t>
      </w:r>
      <w:r w:rsidR="00C349CB">
        <w:t xml:space="preserve">. </w:t>
      </w:r>
    </w:p>
    <w:p w14:paraId="6B2A1994" w14:textId="64EB4C25" w:rsidR="00C349CB" w:rsidRDefault="000A349D" w:rsidP="00C349CB">
      <w:r>
        <w:rPr>
          <w:noProof/>
        </w:rPr>
        <w:drawing>
          <wp:anchor distT="0" distB="0" distL="114300" distR="114300" simplePos="0" relativeHeight="251659776" behindDoc="1" locked="0" layoutInCell="1" allowOverlap="1" wp14:anchorId="60124AD0" wp14:editId="2ED2B80B">
            <wp:simplePos x="0" y="0"/>
            <wp:positionH relativeFrom="margin">
              <wp:posOffset>3939540</wp:posOffset>
            </wp:positionH>
            <wp:positionV relativeFrom="paragraph">
              <wp:posOffset>83185</wp:posOffset>
            </wp:positionV>
            <wp:extent cx="2207260" cy="1590040"/>
            <wp:effectExtent l="0" t="0" r="0" b="0"/>
            <wp:wrapTight wrapText="bothSides">
              <wp:wrapPolygon edited="0">
                <wp:start x="0" y="0"/>
                <wp:lineTo x="0" y="21220"/>
                <wp:lineTo x="21438" y="21220"/>
                <wp:lineTo x="21438" y="0"/>
                <wp:lineTo x="0" y="0"/>
              </wp:wrapPolygon>
            </wp:wrapTight>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260" cy="159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5841E" w14:textId="241DB1F2" w:rsidR="00C349CB" w:rsidRPr="00C349CB" w:rsidRDefault="000A349D" w:rsidP="00C349CB">
      <w:r w:rsidRPr="00C349CB">
        <w:rPr>
          <w:noProof/>
        </w:rPr>
        <w:drawing>
          <wp:inline distT="0" distB="0" distL="0" distR="0" wp14:anchorId="06502FF4" wp14:editId="72A0F681">
            <wp:extent cx="3223260" cy="1463040"/>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3260" cy="1463040"/>
                    </a:xfrm>
                    <a:prstGeom prst="rect">
                      <a:avLst/>
                    </a:prstGeom>
                    <a:noFill/>
                    <a:ln>
                      <a:noFill/>
                    </a:ln>
                  </pic:spPr>
                </pic:pic>
              </a:graphicData>
            </a:graphic>
          </wp:inline>
        </w:drawing>
      </w:r>
    </w:p>
    <w:p w14:paraId="771D6C4D" w14:textId="77777777" w:rsidR="00C349CB" w:rsidRDefault="00C349CB">
      <w:pPr>
        <w:pStyle w:val="Nagwek6"/>
        <w:rPr>
          <w:b/>
        </w:rPr>
      </w:pPr>
    </w:p>
    <w:p w14:paraId="6780DE6C" w14:textId="5587B794" w:rsidR="00C349CB" w:rsidRDefault="000A349D" w:rsidP="000A349D">
      <w:pPr>
        <w:pStyle w:val="Nagwek6"/>
        <w:jc w:val="both"/>
        <w:rPr>
          <w:b/>
        </w:rPr>
      </w:pPr>
      <w:r w:rsidRPr="000A349D">
        <w:rPr>
          <w:b/>
          <w:noProof/>
        </w:rPr>
        <w:drawing>
          <wp:inline distT="0" distB="0" distL="0" distR="0" wp14:anchorId="273674D0" wp14:editId="27BB3FB5">
            <wp:extent cx="3108960" cy="1981200"/>
            <wp:effectExtent l="0" t="0" r="0" b="0"/>
            <wp:docPr id="26" name="Symbol zastępczy zawartości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Symbol zastępczy zawartości 7"/>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8960" cy="1981200"/>
                    </a:xfrm>
                    <a:prstGeom prst="rect">
                      <a:avLst/>
                    </a:prstGeom>
                    <a:noFill/>
                    <a:ln>
                      <a:noFill/>
                    </a:ln>
                  </pic:spPr>
                </pic:pic>
              </a:graphicData>
            </a:graphic>
          </wp:inline>
        </w:drawing>
      </w:r>
    </w:p>
    <w:p w14:paraId="2C4AE1EA" w14:textId="77777777" w:rsidR="000A349D" w:rsidRDefault="000A349D">
      <w:pPr>
        <w:pStyle w:val="Nagwek6"/>
        <w:rPr>
          <w:b/>
          <w:sz w:val="18"/>
          <w:szCs w:val="18"/>
        </w:rPr>
      </w:pPr>
    </w:p>
    <w:p w14:paraId="023F6F4A" w14:textId="77777777" w:rsidR="000A349D" w:rsidRDefault="000A349D">
      <w:pPr>
        <w:pStyle w:val="Nagwek6"/>
        <w:rPr>
          <w:b/>
          <w:sz w:val="18"/>
          <w:szCs w:val="18"/>
        </w:rPr>
      </w:pPr>
    </w:p>
    <w:p w14:paraId="6493230F" w14:textId="77777777" w:rsidR="000A349D" w:rsidRDefault="000A349D">
      <w:pPr>
        <w:pStyle w:val="Nagwek6"/>
        <w:rPr>
          <w:b/>
          <w:sz w:val="18"/>
          <w:szCs w:val="18"/>
        </w:rPr>
      </w:pPr>
    </w:p>
    <w:p w14:paraId="7FC0CC5E" w14:textId="569D1DF5" w:rsidR="009A4D1A" w:rsidRPr="000A349D" w:rsidRDefault="004F174D">
      <w:pPr>
        <w:pStyle w:val="Nagwek6"/>
        <w:rPr>
          <w:sz w:val="18"/>
          <w:szCs w:val="18"/>
        </w:rPr>
      </w:pPr>
      <w:r w:rsidRPr="000A349D">
        <w:rPr>
          <w:b/>
          <w:sz w:val="18"/>
          <w:szCs w:val="18"/>
        </w:rPr>
        <w:t>Figure 1</w:t>
      </w:r>
      <w:r w:rsidRPr="000A349D">
        <w:rPr>
          <w:sz w:val="18"/>
          <w:szCs w:val="18"/>
        </w:rPr>
        <w:t>. This is a figure caption (Heading 6 style, Times New Rom</w:t>
      </w:r>
      <w:r w:rsidRPr="000A349D">
        <w:rPr>
          <w:sz w:val="18"/>
          <w:szCs w:val="18"/>
        </w:rPr>
        <w:t>an 9 pt).</w:t>
      </w:r>
    </w:p>
    <w:p w14:paraId="226D2F35" w14:textId="77777777" w:rsidR="009A4D1A" w:rsidRDefault="009A4D1A">
      <w:pPr>
        <w:rPr>
          <w:lang w:eastAsia="cs-CZ"/>
        </w:rPr>
      </w:pPr>
    </w:p>
    <w:p w14:paraId="51B8BDDF" w14:textId="77777777" w:rsidR="009A4D1A" w:rsidRDefault="004F174D">
      <w:pPr>
        <w:rPr>
          <w:lang w:eastAsia="cs-CZ"/>
        </w:rPr>
      </w:pPr>
      <w:r>
        <w:rPr>
          <w:lang w:eastAsia="cs-CZ"/>
        </w:rPr>
        <w:t>References should be given in the text by square brackets [1]. Two or more references at a time may be put in one set of brackets [2-4] or [2, 3]. The references are to be numbered in the order in which they are cited in the text.</w:t>
      </w:r>
    </w:p>
    <w:p w14:paraId="37590800" w14:textId="77777777" w:rsidR="009A4D1A" w:rsidRDefault="004F174D">
      <w:pPr>
        <w:rPr>
          <w:lang w:eastAsia="cs-CZ"/>
        </w:rPr>
      </w:pPr>
      <w:r>
        <w:rPr>
          <w:lang w:eastAsia="cs-CZ"/>
        </w:rPr>
        <w:lastRenderedPageBreak/>
        <w:t>Use equation e</w:t>
      </w:r>
      <w:r>
        <w:rPr>
          <w:lang w:eastAsia="cs-CZ"/>
        </w:rPr>
        <w:t>ditors for equations, with layout as in this example, eq. (1):</w:t>
      </w:r>
    </w:p>
    <w:tbl>
      <w:tblPr>
        <w:tblW w:w="9546" w:type="dxa"/>
        <w:tblLayout w:type="fixed"/>
        <w:tblLook w:val="04A0" w:firstRow="1" w:lastRow="0" w:firstColumn="1" w:lastColumn="0" w:noHBand="0" w:noVBand="1"/>
      </w:tblPr>
      <w:tblGrid>
        <w:gridCol w:w="8897"/>
        <w:gridCol w:w="649"/>
      </w:tblGrid>
      <w:tr w:rsidR="009A4D1A" w14:paraId="267387C6" w14:textId="77777777">
        <w:tc>
          <w:tcPr>
            <w:tcW w:w="8896" w:type="dxa"/>
            <w:shd w:val="clear" w:color="auto" w:fill="auto"/>
          </w:tcPr>
          <w:p w14:paraId="6D94C8BB" w14:textId="77777777" w:rsidR="009A4D1A" w:rsidRDefault="004F174D">
            <w:pPr>
              <w:widowControl w:val="0"/>
              <w:rPr>
                <w:lang w:eastAsia="cs-CZ"/>
              </w:rPr>
            </w:pPr>
            <w:r>
              <w:rPr>
                <w:i/>
              </w:rPr>
              <w:t>a</w:t>
            </w:r>
            <w:r>
              <w:rPr>
                <w:vertAlign w:val="superscript"/>
              </w:rPr>
              <w:t>2</w:t>
            </w:r>
            <w:r>
              <w:t xml:space="preserve"> + </w:t>
            </w:r>
            <w:r>
              <w:rPr>
                <w:i/>
              </w:rPr>
              <w:t>b</w:t>
            </w:r>
            <w:r>
              <w:rPr>
                <w:vertAlign w:val="superscript"/>
              </w:rPr>
              <w:t>2</w:t>
            </w:r>
            <w:r>
              <w:t xml:space="preserve"> = </w:t>
            </w:r>
            <w:r>
              <w:rPr>
                <w:i/>
              </w:rPr>
              <w:t>c</w:t>
            </w:r>
            <w:r>
              <w:rPr>
                <w:vertAlign w:val="superscript"/>
              </w:rPr>
              <w:t>2</w:t>
            </w:r>
          </w:p>
        </w:tc>
        <w:tc>
          <w:tcPr>
            <w:tcW w:w="649" w:type="dxa"/>
            <w:shd w:val="clear" w:color="auto" w:fill="auto"/>
          </w:tcPr>
          <w:p w14:paraId="7FE59AE0" w14:textId="77777777" w:rsidR="009A4D1A" w:rsidRDefault="004F174D">
            <w:pPr>
              <w:widowControl w:val="0"/>
              <w:rPr>
                <w:lang w:eastAsia="cs-CZ"/>
              </w:rPr>
            </w:pPr>
            <w:r>
              <w:rPr>
                <w:lang w:eastAsia="cs-CZ"/>
              </w:rPr>
              <w:t>(1)</w:t>
            </w:r>
          </w:p>
        </w:tc>
      </w:tr>
    </w:tbl>
    <w:p w14:paraId="392C8F45" w14:textId="77777777" w:rsidR="009A4D1A" w:rsidRDefault="004F174D">
      <w:pPr>
        <w:rPr>
          <w:lang w:eastAsia="cs-CZ"/>
        </w:rPr>
      </w:pPr>
      <w:r>
        <w:rPr>
          <w:lang w:eastAsia="cs-CZ"/>
        </w:rPr>
        <w:t>The references should be in Heading 4 style (</w:t>
      </w:r>
      <w:r>
        <w:t>Times New Roman 9 pt) and</w:t>
      </w:r>
      <w:r>
        <w:rPr>
          <w:lang w:eastAsia="cs-CZ"/>
        </w:rPr>
        <w:t xml:space="preserve"> listed immediately at the end of the text without a heading.</w:t>
      </w:r>
    </w:p>
    <w:p w14:paraId="7D8129D2" w14:textId="77777777" w:rsidR="009A4D1A" w:rsidRDefault="004F174D">
      <w:pPr>
        <w:pStyle w:val="Nagwek4"/>
      </w:pPr>
      <w:r>
        <w:t xml:space="preserve">[1] Margilies, L., Kramer, M. J., McCallum, R. W., Kycia, S., Haeffner, D. R., Lang, J. C. &amp; Goldman, A. I. (1999). </w:t>
      </w:r>
      <w:r>
        <w:rPr>
          <w:i/>
        </w:rPr>
        <w:t>Rev. Sci. Instrum.</w:t>
      </w:r>
      <w:r>
        <w:t xml:space="preserve"> </w:t>
      </w:r>
      <w:r>
        <w:rPr>
          <w:b/>
        </w:rPr>
        <w:t>70</w:t>
      </w:r>
      <w:r>
        <w:t>, 3554.</w:t>
      </w:r>
    </w:p>
    <w:p w14:paraId="5F2E62BC" w14:textId="77777777" w:rsidR="009A4D1A" w:rsidRDefault="004F174D">
      <w:pPr>
        <w:pStyle w:val="Nagwek4"/>
      </w:pPr>
      <w:r>
        <w:t xml:space="preserve">[2] Chupas, P. J., Ciraolo, M. F., Hanson, J. C. &amp; Grey, C. P. (2001). </w:t>
      </w:r>
      <w:r>
        <w:rPr>
          <w:i/>
        </w:rPr>
        <w:t>J. Am. Chem. Soc.</w:t>
      </w:r>
      <w:r>
        <w:t xml:space="preserve">, </w:t>
      </w:r>
      <w:r>
        <w:rPr>
          <w:b/>
        </w:rPr>
        <w:t>123</w:t>
      </w:r>
      <w:r>
        <w:t>, 1694.</w:t>
      </w:r>
    </w:p>
    <w:p w14:paraId="118EB378" w14:textId="77777777" w:rsidR="009A4D1A" w:rsidRDefault="004F174D">
      <w:pPr>
        <w:pStyle w:val="Nagwek4"/>
      </w:pPr>
      <w:r>
        <w:t>[3] Bunge,</w:t>
      </w:r>
      <w:r>
        <w:t xml:space="preserve"> H. J. (1982). </w:t>
      </w:r>
      <w:r>
        <w:rPr>
          <w:i/>
        </w:rPr>
        <w:t>Texture Analysis in Materials Science</w:t>
      </w:r>
      <w:r>
        <w:t>. London: Butterworth.</w:t>
      </w:r>
    </w:p>
    <w:p w14:paraId="2A87CF06" w14:textId="77777777" w:rsidR="009A4D1A" w:rsidRDefault="004F174D">
      <w:pPr>
        <w:pStyle w:val="Nagwek4"/>
      </w:pPr>
      <w:r>
        <w:t xml:space="preserve">[4] Balzar, D. &amp; Popa, N. C. (2004). </w:t>
      </w:r>
      <w:r>
        <w:rPr>
          <w:i/>
        </w:rPr>
        <w:t>Diffraction Analysis of the Microstructure of Materials</w:t>
      </w:r>
      <w:r>
        <w:t>, edited by E. J. Mittemeijer &amp; P. Scardi, pp. 125-145. Berlin: Springer.</w:t>
      </w:r>
    </w:p>
    <w:p w14:paraId="371DD725" w14:textId="77777777" w:rsidR="009A4D1A" w:rsidRDefault="004F174D">
      <w:pPr>
        <w:pStyle w:val="Acknowledgement"/>
      </w:pPr>
      <w:r>
        <w:rPr>
          <w:lang w:eastAsia="cs-CZ"/>
        </w:rPr>
        <w:t xml:space="preserve">Any </w:t>
      </w:r>
      <w:r>
        <w:rPr>
          <w:lang w:eastAsia="cs-CZ"/>
        </w:rPr>
        <w:t>acknowledgements authors wish to make should be included at the end of the manuscript with no heading (use Acknowledgement style, Times New Roman 10 pt, italics).</w:t>
      </w:r>
    </w:p>
    <w:sectPr w:rsidR="009A4D1A">
      <w:headerReference w:type="default" r:id="rId11"/>
      <w:footerReference w:type="default" r:id="rId12"/>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1441" w14:textId="77777777" w:rsidR="004F174D" w:rsidRDefault="004F174D">
      <w:pPr>
        <w:spacing w:after="0"/>
      </w:pPr>
      <w:r>
        <w:separator/>
      </w:r>
    </w:p>
  </w:endnote>
  <w:endnote w:type="continuationSeparator" w:id="0">
    <w:p w14:paraId="477CFDC9" w14:textId="77777777" w:rsidR="004F174D" w:rsidRDefault="004F1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2FB7" w14:textId="77777777" w:rsidR="009A4D1A" w:rsidRDefault="004F174D">
    <w:pPr>
      <w:pStyle w:val="Stopka"/>
    </w:pPr>
    <w:r>
      <w:t>Acta Cryst. (2025). A81, e1</w:t>
    </w:r>
  </w:p>
  <w:p w14:paraId="424A344E" w14:textId="77777777" w:rsidR="009A4D1A" w:rsidRDefault="009A4D1A">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FB0D" w14:textId="77777777" w:rsidR="004F174D" w:rsidRDefault="004F174D">
      <w:pPr>
        <w:spacing w:after="0"/>
      </w:pPr>
      <w:r>
        <w:separator/>
      </w:r>
    </w:p>
  </w:footnote>
  <w:footnote w:type="continuationSeparator" w:id="0">
    <w:p w14:paraId="62E4875D" w14:textId="77777777" w:rsidR="004F174D" w:rsidRDefault="004F17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80C" w14:textId="77777777" w:rsidR="009A4D1A" w:rsidRDefault="004F174D">
    <w:pPr>
      <w:tabs>
        <w:tab w:val="center" w:pos="4703"/>
        <w:tab w:val="right" w:pos="9406"/>
      </w:tabs>
    </w:pPr>
    <w:r>
      <w:rPr>
        <w:b/>
        <w:bCs/>
      </w:rPr>
      <w:t>MS</w:t>
    </w:r>
    <w:r>
      <w:tab/>
    </w:r>
    <w:r>
      <w:rPr>
        <w:b/>
        <w:bCs/>
      </w:rPr>
      <w:t>Microsymposium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F3D47"/>
    <w:multiLevelType w:val="hybridMultilevel"/>
    <w:tmpl w:val="33F488B4"/>
    <w:lvl w:ilvl="0" w:tplc="C2D88AD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1A"/>
    <w:rsid w:val="000A349D"/>
    <w:rsid w:val="003927C3"/>
    <w:rsid w:val="004F174D"/>
    <w:rsid w:val="00986552"/>
    <w:rsid w:val="009A4D1A"/>
    <w:rsid w:val="00C123EA"/>
    <w:rsid w:val="00C349CB"/>
    <w:rsid w:val="00CB15ED"/>
    <w:rsid w:val="00D540D7"/>
    <w:rsid w:val="00E3122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7A05C"/>
  <w15:docId w15:val="{E587CFD9-FAF8-4DEB-A417-C6C716EE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rsid w:val="00C349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426</Words>
  <Characters>2557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Asia Sliwiak</cp:lastModifiedBy>
  <cp:revision>2</cp:revision>
  <dcterms:created xsi:type="dcterms:W3CDTF">2025-05-20T15:12:00Z</dcterms:created>
  <dcterms:modified xsi:type="dcterms:W3CDTF">2025-05-20T15:12:00Z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