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7F62" w14:textId="0DBAA90B" w:rsidR="00C977CC" w:rsidRPr="00D835EA" w:rsidRDefault="00071BD7">
      <w:pPr>
        <w:pStyle w:val="Heading1"/>
        <w:rPr>
          <w:lang w:val="en-US"/>
        </w:rPr>
      </w:pPr>
      <w:r w:rsidRPr="00D835EA">
        <w:rPr>
          <w:szCs w:val="28"/>
          <w:lang w:val="en-US"/>
        </w:rPr>
        <w:t>R</w:t>
      </w:r>
      <w:r w:rsidR="00044E26" w:rsidRPr="00D835EA">
        <w:rPr>
          <w:szCs w:val="28"/>
          <w:lang w:val="en-US"/>
        </w:rPr>
        <w:t>epresentatives</w:t>
      </w:r>
      <w:r w:rsidRPr="00D835EA">
        <w:rPr>
          <w:szCs w:val="28"/>
          <w:lang w:val="en-US"/>
        </w:rPr>
        <w:t xml:space="preserve"> </w:t>
      </w:r>
      <w:r w:rsidR="00044E26" w:rsidRPr="00D835EA">
        <w:rPr>
          <w:szCs w:val="28"/>
          <w:lang w:val="en-US"/>
        </w:rPr>
        <w:t>of</w:t>
      </w:r>
      <w:r w:rsidRPr="00D835EA">
        <w:rPr>
          <w:szCs w:val="28"/>
          <w:lang w:val="en-US"/>
        </w:rPr>
        <w:t xml:space="preserve"> </w:t>
      </w:r>
      <w:r w:rsidR="00044E26" w:rsidRPr="00D835EA">
        <w:rPr>
          <w:szCs w:val="28"/>
          <w:lang w:val="en-US"/>
        </w:rPr>
        <w:t>the</w:t>
      </w:r>
      <w:r w:rsidRPr="00D835EA">
        <w:rPr>
          <w:szCs w:val="28"/>
          <w:lang w:val="en-US"/>
        </w:rPr>
        <w:t xml:space="preserve"> N</w:t>
      </w:r>
      <w:r w:rsidR="00044E26" w:rsidRPr="00D835EA">
        <w:rPr>
          <w:szCs w:val="28"/>
          <w:lang w:val="en-US"/>
        </w:rPr>
        <w:t>owotny</w:t>
      </w:r>
      <w:r w:rsidRPr="00D835EA">
        <w:rPr>
          <w:szCs w:val="28"/>
          <w:lang w:val="en-US"/>
        </w:rPr>
        <w:t xml:space="preserve"> C</w:t>
      </w:r>
      <w:r w:rsidR="00044E26" w:rsidRPr="00D835EA">
        <w:rPr>
          <w:szCs w:val="28"/>
          <w:lang w:val="en-US"/>
        </w:rPr>
        <w:t>himney</w:t>
      </w:r>
      <w:r w:rsidRPr="00D835EA">
        <w:rPr>
          <w:szCs w:val="28"/>
          <w:lang w:val="en-US"/>
        </w:rPr>
        <w:t>-L</w:t>
      </w:r>
      <w:r w:rsidR="00044E26" w:rsidRPr="00D835EA">
        <w:rPr>
          <w:szCs w:val="28"/>
          <w:lang w:val="en-US"/>
        </w:rPr>
        <w:t>adder</w:t>
      </w:r>
      <w:r w:rsidRPr="00D835EA">
        <w:rPr>
          <w:szCs w:val="28"/>
          <w:lang w:val="en-US"/>
        </w:rPr>
        <w:t xml:space="preserve"> </w:t>
      </w:r>
      <w:r w:rsidR="00044E26" w:rsidRPr="00D835EA">
        <w:rPr>
          <w:szCs w:val="28"/>
          <w:lang w:val="en-US"/>
        </w:rPr>
        <w:t>phases</w:t>
      </w:r>
      <w:r w:rsidRPr="00D835EA">
        <w:rPr>
          <w:szCs w:val="28"/>
          <w:lang w:val="en-US"/>
        </w:rPr>
        <w:br/>
      </w:r>
      <w:r w:rsidR="00044E26" w:rsidRPr="00D835EA">
        <w:rPr>
          <w:lang w:val="en-US"/>
        </w:rPr>
        <w:t xml:space="preserve">in the </w:t>
      </w:r>
      <w:r w:rsidRPr="00D835EA">
        <w:rPr>
          <w:lang w:val="en-US"/>
        </w:rPr>
        <w:t>M</w:t>
      </w:r>
      <w:r w:rsidR="002C1642" w:rsidRPr="00D835EA">
        <w:rPr>
          <w:lang w:val="en-US"/>
        </w:rPr>
        <w:t>o</w:t>
      </w:r>
      <w:r w:rsidR="00077851" w:rsidRPr="00D835EA">
        <w:rPr>
          <w:lang w:val="en-US"/>
        </w:rPr>
        <w:t>–</w:t>
      </w:r>
      <w:r w:rsidRPr="00D835EA">
        <w:rPr>
          <w:lang w:val="en-US"/>
        </w:rPr>
        <w:t>G</w:t>
      </w:r>
      <w:r w:rsidR="002C1642" w:rsidRPr="00D835EA">
        <w:rPr>
          <w:lang w:val="en-US"/>
        </w:rPr>
        <w:t>e</w:t>
      </w:r>
      <w:r w:rsidRPr="00D835EA">
        <w:rPr>
          <w:lang w:val="en-US"/>
        </w:rPr>
        <w:t xml:space="preserve"> </w:t>
      </w:r>
      <w:r w:rsidR="00044E26" w:rsidRPr="00D835EA">
        <w:rPr>
          <w:lang w:val="en-US"/>
        </w:rPr>
        <w:t>system</w:t>
      </w:r>
    </w:p>
    <w:p w14:paraId="427E8135" w14:textId="77777777" w:rsidR="00C977CC" w:rsidRPr="00D835EA" w:rsidRDefault="00071BD7">
      <w:pPr>
        <w:pStyle w:val="Heading2"/>
        <w:rPr>
          <w:lang w:val="en-US"/>
        </w:rPr>
      </w:pPr>
      <w:r w:rsidRPr="00D835EA">
        <w:rPr>
          <w:color w:val="000000"/>
          <w:szCs w:val="24"/>
          <w:lang w:val="en-US"/>
        </w:rPr>
        <w:t xml:space="preserve">B. </w:t>
      </w:r>
      <w:proofErr w:type="spellStart"/>
      <w:r w:rsidRPr="00D835EA">
        <w:rPr>
          <w:color w:val="000000"/>
          <w:szCs w:val="24"/>
          <w:lang w:val="en-US"/>
        </w:rPr>
        <w:t>Korotoshyn</w:t>
      </w:r>
      <w:proofErr w:type="spellEnd"/>
      <w:r w:rsidRPr="00D835EA">
        <w:rPr>
          <w:color w:val="000000"/>
          <w:szCs w:val="24"/>
          <w:lang w:val="en-US"/>
        </w:rPr>
        <w:t xml:space="preserve">, N. </w:t>
      </w:r>
      <w:proofErr w:type="spellStart"/>
      <w:r w:rsidRPr="00D835EA">
        <w:rPr>
          <w:color w:val="000000"/>
          <w:szCs w:val="24"/>
          <w:lang w:val="en-US"/>
        </w:rPr>
        <w:t>Muts</w:t>
      </w:r>
      <w:proofErr w:type="spellEnd"/>
      <w:r w:rsidRPr="00D835EA">
        <w:rPr>
          <w:color w:val="000000"/>
          <w:szCs w:val="24"/>
          <w:lang w:val="en-US"/>
        </w:rPr>
        <w:t xml:space="preserve">, L. </w:t>
      </w:r>
      <w:proofErr w:type="spellStart"/>
      <w:r w:rsidRPr="00D835EA">
        <w:rPr>
          <w:color w:val="000000"/>
          <w:szCs w:val="24"/>
          <w:lang w:val="en-US"/>
        </w:rPr>
        <w:t>Akselrud</w:t>
      </w:r>
      <w:proofErr w:type="spellEnd"/>
      <w:r w:rsidRPr="00D835EA">
        <w:rPr>
          <w:color w:val="000000"/>
          <w:szCs w:val="24"/>
          <w:lang w:val="en-US"/>
        </w:rPr>
        <w:t xml:space="preserve">, Ya. </w:t>
      </w:r>
      <w:proofErr w:type="spellStart"/>
      <w:r w:rsidRPr="00D835EA">
        <w:rPr>
          <w:color w:val="000000"/>
          <w:szCs w:val="24"/>
          <w:lang w:val="en-US"/>
        </w:rPr>
        <w:t>Tokaychuk</w:t>
      </w:r>
      <w:proofErr w:type="spellEnd"/>
      <w:r w:rsidRPr="00D835EA">
        <w:rPr>
          <w:color w:val="000000"/>
          <w:szCs w:val="24"/>
          <w:lang w:val="en-US"/>
        </w:rPr>
        <w:t>, R. Gladyshevskii</w:t>
      </w:r>
    </w:p>
    <w:p w14:paraId="0A2FA759" w14:textId="77777777" w:rsidR="00C977CC" w:rsidRPr="00D835EA" w:rsidRDefault="00071BD7">
      <w:pPr>
        <w:pStyle w:val="Heading3"/>
        <w:rPr>
          <w:lang w:val="en-US"/>
        </w:rPr>
      </w:pPr>
      <w:r w:rsidRPr="00D835EA">
        <w:rPr>
          <w:lang w:val="en-US"/>
        </w:rPr>
        <w:t xml:space="preserve">Department of Inorganic Chemistry, Ivan Franko National University of </w:t>
      </w:r>
      <w:proofErr w:type="spellStart"/>
      <w:r w:rsidRPr="00D835EA">
        <w:rPr>
          <w:lang w:val="en-US"/>
        </w:rPr>
        <w:t>Lviv,Kyryla</w:t>
      </w:r>
      <w:proofErr w:type="spellEnd"/>
      <w:r w:rsidRPr="00D835EA">
        <w:rPr>
          <w:lang w:val="en-US"/>
        </w:rPr>
        <w:t xml:space="preserve"> </w:t>
      </w:r>
      <w:proofErr w:type="spellStart"/>
      <w:r w:rsidRPr="00D835EA">
        <w:rPr>
          <w:lang w:val="en-US"/>
        </w:rPr>
        <w:t>i</w:t>
      </w:r>
      <w:proofErr w:type="spellEnd"/>
      <w:r w:rsidRPr="00D835EA">
        <w:rPr>
          <w:lang w:val="en-US"/>
        </w:rPr>
        <w:t xml:space="preserve"> </w:t>
      </w:r>
      <w:proofErr w:type="spellStart"/>
      <w:r w:rsidRPr="00D835EA">
        <w:rPr>
          <w:lang w:val="en-US"/>
        </w:rPr>
        <w:t>Mefodiya</w:t>
      </w:r>
      <w:proofErr w:type="spellEnd"/>
      <w:r w:rsidRPr="00D835EA">
        <w:rPr>
          <w:lang w:val="en-US"/>
        </w:rPr>
        <w:t xml:space="preserve"> St. 6, 79005 Lviv, Ukraine</w:t>
      </w:r>
    </w:p>
    <w:p w14:paraId="6133B3AF" w14:textId="5D31BD57" w:rsidR="00C977CC" w:rsidRPr="00D835EA" w:rsidRDefault="00077851">
      <w:pPr>
        <w:pStyle w:val="Heading3"/>
        <w:rPr>
          <w:sz w:val="18"/>
          <w:szCs w:val="18"/>
          <w:lang w:val="en-US"/>
        </w:rPr>
      </w:pPr>
      <w:hyperlink r:id="rId7" w:history="1">
        <w:r w:rsidRPr="00D835EA">
          <w:rPr>
            <w:rStyle w:val="Hyperlink"/>
          </w:rPr>
          <w:t>bohdan.korotoshyn@lnu.edu.ua</w:t>
        </w:r>
      </w:hyperlink>
      <w:r w:rsidR="008748BC" w:rsidRPr="00D835EA">
        <w:rPr>
          <w:lang w:val="en-US" w:eastAsia="de-DE"/>
        </w:rPr>
        <w:br/>
      </w:r>
    </w:p>
    <w:p w14:paraId="17811CD0" w14:textId="27C86FA0" w:rsidR="00E92DA1" w:rsidRPr="00D835EA" w:rsidRDefault="00E43628" w:rsidP="00E92DA1">
      <w:pPr>
        <w:rPr>
          <w:szCs w:val="28"/>
          <w:lang w:val="en-US"/>
        </w:rPr>
      </w:pPr>
      <w:r w:rsidRPr="00D835EA">
        <w:rPr>
          <w:szCs w:val="28"/>
          <w:lang w:val="en-US"/>
        </w:rPr>
        <w:t xml:space="preserve">In the binary system Mo‒Ge, the existence of the compound </w:t>
      </w:r>
      <w:r w:rsidR="00873C57" w:rsidRPr="00D835EA">
        <w:rPr>
          <w:lang w:val="en-US"/>
        </w:rPr>
        <w:t>Mo</w:t>
      </w:r>
      <w:r w:rsidR="00873C57" w:rsidRPr="00D835EA">
        <w:rPr>
          <w:vertAlign w:val="subscript"/>
          <w:lang w:val="en-US"/>
        </w:rPr>
        <w:t>13</w:t>
      </w:r>
      <w:r w:rsidR="00873C57" w:rsidRPr="00D835EA">
        <w:rPr>
          <w:lang w:val="en-US"/>
        </w:rPr>
        <w:t>Ge</w:t>
      </w:r>
      <w:r w:rsidR="00873C57" w:rsidRPr="00D835EA">
        <w:rPr>
          <w:vertAlign w:val="subscript"/>
          <w:lang w:val="en-US"/>
        </w:rPr>
        <w:t>23</w:t>
      </w:r>
      <w:r w:rsidR="00873C57" w:rsidRPr="00D835EA">
        <w:rPr>
          <w:lang w:val="en-US"/>
        </w:rPr>
        <w:t xml:space="preserve"> </w:t>
      </w:r>
      <w:r w:rsidR="00A86154" w:rsidRPr="00D835EA">
        <w:rPr>
          <w:lang w:val="en-US"/>
        </w:rPr>
        <w:t xml:space="preserve">is known </w:t>
      </w:r>
      <w:r w:rsidR="00873C57" w:rsidRPr="00D835EA">
        <w:rPr>
          <w:lang w:val="en-US"/>
        </w:rPr>
        <w:t>(space group</w:t>
      </w:r>
      <w:r w:rsidR="00873C57" w:rsidRPr="00D835EA">
        <w:rPr>
          <w:i/>
          <w:lang w:val="en-US"/>
        </w:rPr>
        <w:t xml:space="preserve"> P</w:t>
      </w:r>
      <w:r w:rsidR="00873C57" w:rsidRPr="00D835EA">
        <w:rPr>
          <w:lang w:val="en-US"/>
        </w:rPr>
        <w:t>-4</w:t>
      </w:r>
      <w:r w:rsidR="00873C57" w:rsidRPr="00D835EA">
        <w:rPr>
          <w:i/>
          <w:lang w:val="en-US"/>
        </w:rPr>
        <w:t>n</w:t>
      </w:r>
      <w:r w:rsidR="00873C57" w:rsidRPr="00D835EA">
        <w:rPr>
          <w:lang w:val="en-US"/>
        </w:rPr>
        <w:t xml:space="preserve">2, Pearson symbol </w:t>
      </w:r>
      <w:r w:rsidR="00873C57" w:rsidRPr="00D835EA">
        <w:rPr>
          <w:i/>
          <w:lang w:val="en-US"/>
        </w:rPr>
        <w:t>tP</w:t>
      </w:r>
      <w:r w:rsidR="00873C57" w:rsidRPr="00D835EA">
        <w:rPr>
          <w:lang w:val="en-US"/>
        </w:rPr>
        <w:t xml:space="preserve">144, </w:t>
      </w:r>
      <w:r w:rsidR="00873C57" w:rsidRPr="00D835EA">
        <w:rPr>
          <w:i/>
          <w:iCs/>
          <w:lang w:val="en-US"/>
        </w:rPr>
        <w:t>a</w:t>
      </w:r>
      <w:r w:rsidR="00077851" w:rsidRPr="00D835EA">
        <w:rPr>
          <w:lang w:val="en-US"/>
        </w:rPr>
        <w:t> </w:t>
      </w:r>
      <w:r w:rsidR="00873C57" w:rsidRPr="00D835EA">
        <w:rPr>
          <w:lang w:val="en-US"/>
        </w:rPr>
        <w:t>=</w:t>
      </w:r>
      <w:r w:rsidR="00077851" w:rsidRPr="00D835EA">
        <w:rPr>
          <w:lang w:val="en-US"/>
        </w:rPr>
        <w:t> </w:t>
      </w:r>
      <w:r w:rsidR="00873C57" w:rsidRPr="00D835EA">
        <w:rPr>
          <w:lang w:val="en-US"/>
        </w:rPr>
        <w:t xml:space="preserve">5.987, </w:t>
      </w:r>
      <w:r w:rsidR="00873C57" w:rsidRPr="00D835EA">
        <w:rPr>
          <w:i/>
          <w:iCs/>
          <w:lang w:val="en-US"/>
        </w:rPr>
        <w:t>c</w:t>
      </w:r>
      <w:r w:rsidR="00077851" w:rsidRPr="00D835EA">
        <w:rPr>
          <w:lang w:val="en-US"/>
        </w:rPr>
        <w:t> </w:t>
      </w:r>
      <w:r w:rsidR="00873C57" w:rsidRPr="00D835EA">
        <w:rPr>
          <w:lang w:val="en-US"/>
        </w:rPr>
        <w:t>=</w:t>
      </w:r>
      <w:r w:rsidR="00077851" w:rsidRPr="00D835EA">
        <w:rPr>
          <w:lang w:val="en-US"/>
        </w:rPr>
        <w:t> </w:t>
      </w:r>
      <w:r w:rsidR="00873C57" w:rsidRPr="00D835EA">
        <w:rPr>
          <w:lang w:val="en-US"/>
        </w:rPr>
        <w:t>63.54 Å</w:t>
      </w:r>
      <w:r w:rsidRPr="00D835EA">
        <w:rPr>
          <w:color w:val="000000"/>
          <w:lang w:val="en-US"/>
        </w:rPr>
        <w:t>)</w:t>
      </w:r>
      <w:r w:rsidR="0064671A" w:rsidRPr="00D835EA">
        <w:rPr>
          <w:color w:val="000000"/>
          <w:lang w:val="en-US"/>
        </w:rPr>
        <w:t xml:space="preserve"> [1]</w:t>
      </w:r>
      <w:r w:rsidR="00873C57" w:rsidRPr="00D835EA">
        <w:rPr>
          <w:color w:val="000000"/>
          <w:lang w:val="en-US"/>
        </w:rPr>
        <w:t xml:space="preserve">. </w:t>
      </w:r>
      <w:r w:rsidR="00E92DA1" w:rsidRPr="00D835EA">
        <w:rPr>
          <w:color w:val="000000"/>
          <w:lang w:val="en-US"/>
        </w:rPr>
        <w:t>The structure of th</w:t>
      </w:r>
      <w:r w:rsidR="00873C57" w:rsidRPr="00D835EA">
        <w:rPr>
          <w:color w:val="000000"/>
          <w:lang w:val="en-US"/>
        </w:rPr>
        <w:t>i</w:t>
      </w:r>
      <w:r w:rsidR="00E92DA1" w:rsidRPr="00D835EA">
        <w:rPr>
          <w:color w:val="000000"/>
          <w:lang w:val="en-US"/>
        </w:rPr>
        <w:t xml:space="preserve">s compound belongs to the Nowotny </w:t>
      </w:r>
      <w:r w:rsidR="00077851" w:rsidRPr="00D835EA">
        <w:rPr>
          <w:color w:val="000000"/>
          <w:lang w:val="en-US"/>
        </w:rPr>
        <w:t>c</w:t>
      </w:r>
      <w:r w:rsidR="00E92DA1" w:rsidRPr="00D835EA">
        <w:rPr>
          <w:color w:val="000000"/>
          <w:lang w:val="en-US"/>
        </w:rPr>
        <w:t>himney-</w:t>
      </w:r>
      <w:r w:rsidR="00077851" w:rsidRPr="00D835EA">
        <w:rPr>
          <w:color w:val="000000"/>
          <w:lang w:val="en-US"/>
        </w:rPr>
        <w:t>l</w:t>
      </w:r>
      <w:r w:rsidR="00E92DA1" w:rsidRPr="00D835EA">
        <w:rPr>
          <w:color w:val="000000"/>
          <w:lang w:val="en-US"/>
        </w:rPr>
        <w:t xml:space="preserve">adder phases, which were first described by </w:t>
      </w:r>
      <w:r w:rsidR="00E54E60" w:rsidRPr="00D835EA">
        <w:rPr>
          <w:color w:val="000000"/>
          <w:lang w:val="en-US"/>
        </w:rPr>
        <w:t xml:space="preserve">Hans </w:t>
      </w:r>
      <w:r w:rsidR="00E92DA1" w:rsidRPr="00D835EA">
        <w:rPr>
          <w:color w:val="000000"/>
          <w:lang w:val="en-US"/>
        </w:rPr>
        <w:t>Nowotny</w:t>
      </w:r>
      <w:r w:rsidR="00E92DA1" w:rsidRPr="00D835EA">
        <w:rPr>
          <w:szCs w:val="28"/>
          <w:lang w:val="en-US"/>
        </w:rPr>
        <w:t xml:space="preserve">. </w:t>
      </w:r>
      <w:r w:rsidR="00E92DA1" w:rsidRPr="00D835EA">
        <w:rPr>
          <w:lang w:val="en-US"/>
        </w:rPr>
        <w:t xml:space="preserve">Nowotny </w:t>
      </w:r>
      <w:r w:rsidR="00077851" w:rsidRPr="00D835EA">
        <w:rPr>
          <w:lang w:val="en-US"/>
        </w:rPr>
        <w:t>c</w:t>
      </w:r>
      <w:r w:rsidR="00E92DA1" w:rsidRPr="00D835EA">
        <w:rPr>
          <w:lang w:val="en-US"/>
        </w:rPr>
        <w:t>himney-</w:t>
      </w:r>
      <w:r w:rsidR="00077851" w:rsidRPr="00D835EA">
        <w:rPr>
          <w:lang w:val="en-US"/>
        </w:rPr>
        <w:t>l</w:t>
      </w:r>
      <w:r w:rsidR="00E92DA1" w:rsidRPr="00D835EA">
        <w:rPr>
          <w:lang w:val="en-US"/>
        </w:rPr>
        <w:t>adder phases represent a class of composite compounds consisting of two substructures: a transition-metal element (</w:t>
      </w:r>
      <w:r w:rsidR="00E92DA1" w:rsidRPr="00D835EA">
        <w:rPr>
          <w:i/>
          <w:lang w:val="en-US"/>
        </w:rPr>
        <w:t>T</w:t>
      </w:r>
      <w:r w:rsidR="00E92DA1" w:rsidRPr="00D835EA">
        <w:rPr>
          <w:lang w:val="en-US"/>
        </w:rPr>
        <w:t xml:space="preserve">) of groups IVB-VIIIB and a </w:t>
      </w:r>
      <w:r w:rsidR="00E92DA1" w:rsidRPr="00D835EA">
        <w:rPr>
          <w:i/>
          <w:iCs/>
          <w:lang w:val="en-US"/>
        </w:rPr>
        <w:t>p</w:t>
      </w:r>
      <w:r w:rsidR="00E92DA1" w:rsidRPr="00D835EA">
        <w:rPr>
          <w:iCs/>
          <w:lang w:val="en-US"/>
        </w:rPr>
        <w:t xml:space="preserve">-block element </w:t>
      </w:r>
      <w:r w:rsidR="00E92DA1" w:rsidRPr="00D835EA">
        <w:rPr>
          <w:lang w:val="en-US"/>
        </w:rPr>
        <w:t>(</w:t>
      </w:r>
      <w:r w:rsidR="00E92DA1" w:rsidRPr="00D835EA">
        <w:rPr>
          <w:i/>
          <w:lang w:val="en-US"/>
        </w:rPr>
        <w:t>M</w:t>
      </w:r>
      <w:r w:rsidR="00E92DA1" w:rsidRPr="00D835EA">
        <w:rPr>
          <w:lang w:val="en-US"/>
        </w:rPr>
        <w:t xml:space="preserve">) of main groups IIIA-VA. In these compounds, the transition-metal atoms form a substructure of the β-Sn type as the base of a “chimney”, around which atoms of the main group element twist to form </w:t>
      </w:r>
      <w:r w:rsidR="00B65C37" w:rsidRPr="00D835EA">
        <w:rPr>
          <w:lang w:val="en-US"/>
        </w:rPr>
        <w:t>helical chains</w:t>
      </w:r>
      <w:r w:rsidR="00E92DA1" w:rsidRPr="00D835EA">
        <w:rPr>
          <w:lang w:val="en-US"/>
        </w:rPr>
        <w:t xml:space="preserve"> </w:t>
      </w:r>
      <w:r w:rsidR="00B65C37" w:rsidRPr="00D835EA">
        <w:rPr>
          <w:lang w:val="en-US"/>
        </w:rPr>
        <w:t>as</w:t>
      </w:r>
      <w:r w:rsidR="00E92DA1" w:rsidRPr="00D835EA">
        <w:rPr>
          <w:lang w:val="en-US"/>
        </w:rPr>
        <w:t xml:space="preserve"> a “ladder”</w:t>
      </w:r>
      <w:r w:rsidR="00E92DA1" w:rsidRPr="00D835EA">
        <w:rPr>
          <w:szCs w:val="28"/>
          <w:lang w:val="en-US"/>
        </w:rPr>
        <w:t xml:space="preserve">. </w:t>
      </w:r>
      <w:r w:rsidR="00E92DA1" w:rsidRPr="00D835EA">
        <w:rPr>
          <w:lang w:val="en-US"/>
        </w:rPr>
        <w:t xml:space="preserve">Both substructures, with their respective lattice parameters </w:t>
      </w:r>
      <w:proofErr w:type="spellStart"/>
      <w:r w:rsidR="00E92DA1" w:rsidRPr="00D835EA">
        <w:rPr>
          <w:i/>
          <w:lang w:val="en-US"/>
        </w:rPr>
        <w:t>c</w:t>
      </w:r>
      <w:r w:rsidR="00E92DA1" w:rsidRPr="00D835EA">
        <w:rPr>
          <w:i/>
          <w:vertAlign w:val="subscript"/>
          <w:lang w:val="en-US"/>
        </w:rPr>
        <w:t>T</w:t>
      </w:r>
      <w:proofErr w:type="spellEnd"/>
      <w:r w:rsidR="00E92DA1" w:rsidRPr="00D835EA">
        <w:rPr>
          <w:lang w:val="en-US"/>
        </w:rPr>
        <w:t xml:space="preserve"> and </w:t>
      </w:r>
      <w:proofErr w:type="spellStart"/>
      <w:r w:rsidR="00E92DA1" w:rsidRPr="00D835EA">
        <w:rPr>
          <w:i/>
          <w:lang w:val="en-US"/>
        </w:rPr>
        <w:t>c</w:t>
      </w:r>
      <w:r w:rsidR="00E92DA1" w:rsidRPr="00D835EA">
        <w:rPr>
          <w:i/>
          <w:vertAlign w:val="subscript"/>
          <w:lang w:val="en-US"/>
        </w:rPr>
        <w:t>M</w:t>
      </w:r>
      <w:proofErr w:type="spellEnd"/>
      <w:r w:rsidR="00E92DA1" w:rsidRPr="00D835EA">
        <w:rPr>
          <w:lang w:val="en-US"/>
        </w:rPr>
        <w:t xml:space="preserve">, are closely intertwined, creating the conditions for a homologous series of intergrowth compounds described in the tetragonal system with </w:t>
      </w:r>
      <w:r w:rsidR="00E92DA1" w:rsidRPr="00D835EA">
        <w:rPr>
          <w:i/>
          <w:iCs/>
          <w:lang w:val="en-US"/>
        </w:rPr>
        <w:t>a</w:t>
      </w:r>
      <w:r w:rsidR="00E92DA1" w:rsidRPr="00D835EA">
        <w:rPr>
          <w:lang w:val="en-US"/>
        </w:rPr>
        <w:t xml:space="preserve">-parameters in the range </w:t>
      </w:r>
      <w:r w:rsidR="00A86154" w:rsidRPr="00D835EA">
        <w:rPr>
          <w:lang w:val="en-US"/>
        </w:rPr>
        <w:t xml:space="preserve">of </w:t>
      </w:r>
      <w:r w:rsidR="00E92DA1" w:rsidRPr="00D835EA">
        <w:rPr>
          <w:lang w:val="en-US"/>
        </w:rPr>
        <w:t>5.5 to 6.9</w:t>
      </w:r>
      <w:r w:rsidR="00077851" w:rsidRPr="00D835EA">
        <w:rPr>
          <w:lang w:val="en-US"/>
        </w:rPr>
        <w:t> </w:t>
      </w:r>
      <w:r w:rsidR="00E92DA1" w:rsidRPr="00D835EA">
        <w:rPr>
          <w:lang w:val="en-US"/>
        </w:rPr>
        <w:t>Å</w:t>
      </w:r>
      <w:r w:rsidR="002806EE" w:rsidRPr="00D835EA">
        <w:rPr>
          <w:lang w:val="en-US"/>
        </w:rPr>
        <w:t xml:space="preserve"> </w:t>
      </w:r>
      <w:r w:rsidR="002806EE" w:rsidRPr="00D835EA">
        <w:rPr>
          <w:szCs w:val="28"/>
          <w:lang w:val="en-US"/>
        </w:rPr>
        <w:t>[</w:t>
      </w:r>
      <w:r w:rsidR="002806EE" w:rsidRPr="00D835EA">
        <w:rPr>
          <w:color w:val="000000" w:themeColor="text1"/>
          <w:szCs w:val="28"/>
          <w:lang w:val="en-US"/>
        </w:rPr>
        <w:t>2</w:t>
      </w:r>
      <w:r w:rsidR="002806EE" w:rsidRPr="00D835EA">
        <w:rPr>
          <w:szCs w:val="28"/>
          <w:lang w:val="en-US"/>
        </w:rPr>
        <w:t>]</w:t>
      </w:r>
      <w:r w:rsidR="00E92DA1" w:rsidRPr="00D835EA">
        <w:rPr>
          <w:szCs w:val="28"/>
          <w:lang w:val="en-US"/>
        </w:rPr>
        <w:t xml:space="preserve">. </w:t>
      </w:r>
      <w:r w:rsidR="00E92DA1" w:rsidRPr="00D835EA">
        <w:rPr>
          <w:lang w:val="en-US"/>
        </w:rPr>
        <w:t xml:space="preserve">The </w:t>
      </w:r>
      <w:proofErr w:type="gramStart"/>
      <w:r w:rsidR="00E92DA1" w:rsidRPr="00D835EA">
        <w:rPr>
          <w:i/>
          <w:iCs/>
          <w:lang w:val="en-US"/>
        </w:rPr>
        <w:t>c</w:t>
      </w:r>
      <w:r w:rsidR="00E92DA1" w:rsidRPr="00D835EA">
        <w:rPr>
          <w:lang w:val="en-US"/>
        </w:rPr>
        <w:t>-parameter</w:t>
      </w:r>
      <w:proofErr w:type="gramEnd"/>
      <w:r w:rsidR="00E92DA1" w:rsidRPr="00D835EA">
        <w:rPr>
          <w:lang w:val="en-US"/>
        </w:rPr>
        <w:t xml:space="preserve"> can take different values, reaching as </w:t>
      </w:r>
      <w:r w:rsidR="00A86154" w:rsidRPr="00D835EA">
        <w:rPr>
          <w:lang w:val="en-US"/>
        </w:rPr>
        <w:t>much</w:t>
      </w:r>
      <w:r w:rsidR="00E92DA1" w:rsidRPr="00D835EA">
        <w:rPr>
          <w:lang w:val="en-US"/>
        </w:rPr>
        <w:t xml:space="preserve"> as 319</w:t>
      </w:r>
      <w:r w:rsidR="00077851" w:rsidRPr="00D835EA">
        <w:rPr>
          <w:lang w:val="en-US"/>
        </w:rPr>
        <w:t> </w:t>
      </w:r>
      <w:r w:rsidR="00E92DA1" w:rsidRPr="00D835EA">
        <w:rPr>
          <w:lang w:val="en-US"/>
        </w:rPr>
        <w:t>Å</w:t>
      </w:r>
      <w:r w:rsidR="00E92DA1" w:rsidRPr="00D835EA">
        <w:rPr>
          <w:szCs w:val="28"/>
          <w:lang w:val="en-US"/>
        </w:rPr>
        <w:t xml:space="preserve">. </w:t>
      </w:r>
      <w:r w:rsidR="007B2008" w:rsidRPr="00D835EA">
        <w:rPr>
          <w:szCs w:val="28"/>
          <w:lang w:val="en-US"/>
        </w:rPr>
        <w:t>This is because in a composite crystal, each substructure undergoes modulation (systematic displacement of atoms from their ideal positions in subsequent cell</w:t>
      </w:r>
      <w:r w:rsidR="00E54E60" w:rsidRPr="00D835EA">
        <w:rPr>
          <w:szCs w:val="28"/>
          <w:lang w:val="en-US"/>
        </w:rPr>
        <w:t>s</w:t>
      </w:r>
      <w:r w:rsidR="007B2008" w:rsidRPr="00D835EA">
        <w:rPr>
          <w:szCs w:val="28"/>
          <w:lang w:val="en-US"/>
        </w:rPr>
        <w:t xml:space="preserve">) </w:t>
      </w:r>
      <w:proofErr w:type="gramStart"/>
      <w:r w:rsidR="007B2008" w:rsidRPr="00D835EA">
        <w:rPr>
          <w:szCs w:val="28"/>
          <w:lang w:val="en-US"/>
        </w:rPr>
        <w:t>as a result of</w:t>
      </w:r>
      <w:proofErr w:type="gramEnd"/>
      <w:r w:rsidR="00E54E60" w:rsidRPr="00D835EA">
        <w:rPr>
          <w:szCs w:val="28"/>
          <w:lang w:val="en-US"/>
        </w:rPr>
        <w:t xml:space="preserve"> the</w:t>
      </w:r>
      <w:r w:rsidR="007B2008" w:rsidRPr="00D835EA">
        <w:rPr>
          <w:szCs w:val="28"/>
          <w:lang w:val="en-US"/>
        </w:rPr>
        <w:t xml:space="preserve"> interaction</w:t>
      </w:r>
      <w:r w:rsidR="00E54E60" w:rsidRPr="00D835EA">
        <w:rPr>
          <w:szCs w:val="28"/>
          <w:lang w:val="en-US"/>
        </w:rPr>
        <w:t>s</w:t>
      </w:r>
      <w:r w:rsidR="006F3096" w:rsidRPr="00D835EA">
        <w:rPr>
          <w:szCs w:val="28"/>
          <w:lang w:val="en-US"/>
        </w:rPr>
        <w:t xml:space="preserve"> [3]</w:t>
      </w:r>
      <w:r w:rsidR="007B2008" w:rsidRPr="00D835EA">
        <w:rPr>
          <w:szCs w:val="28"/>
          <w:lang w:val="en-US"/>
        </w:rPr>
        <w:t xml:space="preserve">. In </w:t>
      </w:r>
      <w:r w:rsidR="0070798F" w:rsidRPr="00D835EA">
        <w:rPr>
          <w:szCs w:val="28"/>
          <w:lang w:val="en-US"/>
        </w:rPr>
        <w:t xml:space="preserve">the </w:t>
      </w:r>
      <w:r w:rsidR="007B2008" w:rsidRPr="00D835EA">
        <w:rPr>
          <w:szCs w:val="28"/>
          <w:lang w:val="en-US"/>
        </w:rPr>
        <w:t xml:space="preserve">Nowotny </w:t>
      </w:r>
      <w:r w:rsidR="00077851" w:rsidRPr="00D835EA">
        <w:rPr>
          <w:szCs w:val="28"/>
          <w:lang w:val="en-US"/>
        </w:rPr>
        <w:t>c</w:t>
      </w:r>
      <w:r w:rsidR="0070798F" w:rsidRPr="00D835EA">
        <w:rPr>
          <w:szCs w:val="28"/>
          <w:lang w:val="en-US"/>
        </w:rPr>
        <w:t>himney-</w:t>
      </w:r>
      <w:r w:rsidR="00077851" w:rsidRPr="00D835EA">
        <w:rPr>
          <w:szCs w:val="28"/>
          <w:lang w:val="en-US"/>
        </w:rPr>
        <w:t>l</w:t>
      </w:r>
      <w:r w:rsidR="0070798F" w:rsidRPr="00D835EA">
        <w:rPr>
          <w:szCs w:val="28"/>
          <w:lang w:val="en-US"/>
        </w:rPr>
        <w:t xml:space="preserve">adder </w:t>
      </w:r>
      <w:r w:rsidR="007B2008" w:rsidRPr="00D835EA">
        <w:rPr>
          <w:szCs w:val="28"/>
          <w:lang w:val="en-US"/>
        </w:rPr>
        <w:t xml:space="preserve">phases, a one-dimensional modulation along the </w:t>
      </w:r>
      <w:r w:rsidR="007B2008" w:rsidRPr="00D835EA">
        <w:rPr>
          <w:i/>
          <w:iCs/>
          <w:szCs w:val="28"/>
          <w:lang w:val="en-US"/>
        </w:rPr>
        <w:t>c</w:t>
      </w:r>
      <w:r w:rsidR="007B2008" w:rsidRPr="00D835EA">
        <w:rPr>
          <w:szCs w:val="28"/>
          <w:lang w:val="en-US"/>
        </w:rPr>
        <w:t xml:space="preserve">-axis occurs. By </w:t>
      </w:r>
      <w:r w:rsidR="00A86154" w:rsidRPr="00D835EA">
        <w:rPr>
          <w:szCs w:val="28"/>
          <w:lang w:val="en-US"/>
        </w:rPr>
        <w:t>combining</w:t>
      </w:r>
      <w:r w:rsidR="007B2008" w:rsidRPr="00D835EA">
        <w:rPr>
          <w:szCs w:val="28"/>
          <w:lang w:val="en-US"/>
        </w:rPr>
        <w:t xml:space="preserve"> structural fragments of </w:t>
      </w:r>
      <w:r w:rsidR="00B65C37" w:rsidRPr="00D835EA">
        <w:rPr>
          <w:szCs w:val="28"/>
          <w:lang w:val="en-US"/>
        </w:rPr>
        <w:t>the</w:t>
      </w:r>
      <w:r w:rsidR="007B2008" w:rsidRPr="00D835EA">
        <w:rPr>
          <w:szCs w:val="28"/>
          <w:lang w:val="en-US"/>
        </w:rPr>
        <w:t xml:space="preserve"> substructures</w:t>
      </w:r>
      <w:r w:rsidR="00E54E60" w:rsidRPr="00D835EA">
        <w:rPr>
          <w:szCs w:val="28"/>
          <w:lang w:val="en-US"/>
        </w:rPr>
        <w:t xml:space="preserve"> in special ratios</w:t>
      </w:r>
      <w:r w:rsidR="007B2008" w:rsidRPr="00D835EA">
        <w:rPr>
          <w:szCs w:val="28"/>
          <w:lang w:val="en-US"/>
        </w:rPr>
        <w:t xml:space="preserve">, </w:t>
      </w:r>
      <w:r w:rsidR="00E54E60" w:rsidRPr="00D835EA">
        <w:rPr>
          <w:szCs w:val="28"/>
          <w:lang w:val="en-US"/>
        </w:rPr>
        <w:t xml:space="preserve">commensurate </w:t>
      </w:r>
      <w:r w:rsidR="007B2008" w:rsidRPr="00D835EA">
        <w:rPr>
          <w:szCs w:val="28"/>
          <w:lang w:val="en-US"/>
        </w:rPr>
        <w:t xml:space="preserve">approximants can be </w:t>
      </w:r>
      <w:r w:rsidR="00E54E60" w:rsidRPr="00D835EA">
        <w:rPr>
          <w:szCs w:val="28"/>
          <w:lang w:val="en-US"/>
        </w:rPr>
        <w:t>obtained</w:t>
      </w:r>
      <w:r w:rsidR="007B2008" w:rsidRPr="00D835EA">
        <w:rPr>
          <w:szCs w:val="28"/>
          <w:lang w:val="en-US"/>
        </w:rPr>
        <w:t>.</w:t>
      </w:r>
    </w:p>
    <w:p w14:paraId="4F3B220A" w14:textId="33D788C8" w:rsidR="006A0B4C" w:rsidRPr="00D835EA" w:rsidRDefault="006A0B4C" w:rsidP="00E92DA1">
      <w:pPr>
        <w:rPr>
          <w:szCs w:val="28"/>
          <w:lang w:val="en-US"/>
        </w:rPr>
      </w:pPr>
      <w:r w:rsidRPr="00D835EA">
        <w:rPr>
          <w:szCs w:val="28"/>
          <w:lang w:val="en-US"/>
        </w:rPr>
        <w:t>The samples were synthesized by sintering powders of pure metals (Mo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≥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99.8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wt.%, Ge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≥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99.98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wt.%) in vacuum-sealed quartz ampoules at 1000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°C for 4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 xml:space="preserve">days and </w:t>
      </w:r>
      <w:r w:rsidR="0070798F" w:rsidRPr="00D835EA">
        <w:rPr>
          <w:szCs w:val="28"/>
          <w:lang w:val="en-US"/>
        </w:rPr>
        <w:t xml:space="preserve">at </w:t>
      </w:r>
      <w:r w:rsidRPr="00D835EA">
        <w:rPr>
          <w:szCs w:val="28"/>
          <w:lang w:val="en-US"/>
        </w:rPr>
        <w:t>800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>°C for the next 5</w:t>
      </w:r>
      <w:r w:rsidR="00141FC5" w:rsidRPr="00D835EA">
        <w:rPr>
          <w:szCs w:val="28"/>
          <w:lang w:val="en-US"/>
        </w:rPr>
        <w:t> </w:t>
      </w:r>
      <w:r w:rsidRPr="00D835EA">
        <w:rPr>
          <w:szCs w:val="28"/>
          <w:lang w:val="en-US"/>
        </w:rPr>
        <w:t xml:space="preserve">days, after which the ampoules were quenched in cold water. X-ray powder diffraction data from </w:t>
      </w:r>
      <w:r w:rsidR="008F4E2F" w:rsidRPr="00D835EA">
        <w:rPr>
          <w:szCs w:val="28"/>
          <w:lang w:val="en-US"/>
        </w:rPr>
        <w:t>a</w:t>
      </w:r>
      <w:r w:rsidRPr="00D835EA">
        <w:rPr>
          <w:szCs w:val="28"/>
          <w:lang w:val="en-US"/>
        </w:rPr>
        <w:t xml:space="preserve"> polycrystalline sample was obtained using a PROTO </w:t>
      </w:r>
      <w:r w:rsidR="001E1988" w:rsidRPr="00D835EA">
        <w:rPr>
          <w:szCs w:val="28"/>
          <w:lang w:val="en-US"/>
        </w:rPr>
        <w:t>AXRD</w:t>
      </w:r>
      <w:r w:rsidR="001E1988" w:rsidRPr="00D835EA">
        <w:rPr>
          <w:szCs w:val="28"/>
          <w:lang w:val="uk-UA"/>
        </w:rPr>
        <w:t xml:space="preserve"> </w:t>
      </w:r>
      <w:proofErr w:type="spellStart"/>
      <w:r w:rsidR="001E1988" w:rsidRPr="00D835EA">
        <w:rPr>
          <w:szCs w:val="28"/>
          <w:lang w:val="en-US"/>
        </w:rPr>
        <w:t>Banchtop</w:t>
      </w:r>
      <w:proofErr w:type="spellEnd"/>
      <w:r w:rsidR="001E1988" w:rsidRPr="00D835EA">
        <w:rPr>
          <w:szCs w:val="28"/>
          <w:lang w:val="uk-UA"/>
        </w:rPr>
        <w:t xml:space="preserve"> </w:t>
      </w:r>
      <w:r w:rsidRPr="00D835EA">
        <w:rPr>
          <w:szCs w:val="28"/>
          <w:lang w:val="en-US"/>
        </w:rPr>
        <w:t>diffractometer (Cu</w:t>
      </w:r>
      <w:r w:rsidR="00141FC5" w:rsidRPr="00D835EA">
        <w:rPr>
          <w:szCs w:val="28"/>
          <w:lang w:val="en-US"/>
        </w:rPr>
        <w:t> </w:t>
      </w:r>
      <w:r w:rsidRPr="00D835EA">
        <w:rPr>
          <w:i/>
          <w:iCs/>
          <w:szCs w:val="28"/>
          <w:lang w:val="en-US"/>
        </w:rPr>
        <w:t>K</w:t>
      </w:r>
      <w:r w:rsidRPr="00D835EA">
        <w:rPr>
          <w:szCs w:val="28"/>
          <w:lang w:val="en-US"/>
        </w:rPr>
        <w:t>α</w:t>
      </w:r>
      <w:r w:rsidRPr="00D835EA">
        <w:rPr>
          <w:szCs w:val="28"/>
          <w:vertAlign w:val="subscript"/>
          <w:lang w:val="en-US"/>
        </w:rPr>
        <w:t>1</w:t>
      </w:r>
      <w:r w:rsidRPr="00D835EA">
        <w:rPr>
          <w:szCs w:val="28"/>
          <w:lang w:val="en-US"/>
        </w:rPr>
        <w:t xml:space="preserve"> </w:t>
      </w:r>
      <w:r w:rsidR="00A86154" w:rsidRPr="00D835EA">
        <w:rPr>
          <w:szCs w:val="28"/>
          <w:lang w:val="en-US"/>
        </w:rPr>
        <w:t>radiation</w:t>
      </w:r>
      <w:r w:rsidRPr="00D835EA">
        <w:rPr>
          <w:szCs w:val="28"/>
          <w:lang w:val="en-US"/>
        </w:rPr>
        <w:t>).</w:t>
      </w:r>
    </w:p>
    <w:p w14:paraId="2A95C89A" w14:textId="3A3AE1A9" w:rsidR="00E43628" w:rsidRPr="00D835EA" w:rsidRDefault="00A86154" w:rsidP="00E92DA1">
      <w:pPr>
        <w:rPr>
          <w:color w:val="000000"/>
          <w:lang w:val="en-US"/>
        </w:rPr>
      </w:pPr>
      <w:r w:rsidRPr="00D835EA">
        <w:rPr>
          <w:szCs w:val="28"/>
          <w:lang w:val="en-US"/>
        </w:rPr>
        <w:t>T</w:t>
      </w:r>
      <w:r w:rsidR="00E43628" w:rsidRPr="00D835EA">
        <w:rPr>
          <w:szCs w:val="28"/>
          <w:lang w:val="en-US"/>
        </w:rPr>
        <w:t xml:space="preserve">wo compounds </w:t>
      </w:r>
      <w:r w:rsidRPr="00D835EA">
        <w:rPr>
          <w:szCs w:val="28"/>
          <w:lang w:val="en-US"/>
        </w:rPr>
        <w:t>were observed</w:t>
      </w:r>
      <w:r w:rsidR="00E43628" w:rsidRPr="00D835EA">
        <w:rPr>
          <w:szCs w:val="28"/>
          <w:lang w:val="en-US"/>
        </w:rPr>
        <w:t xml:space="preserve">: </w:t>
      </w:r>
      <w:r w:rsidR="00E43628" w:rsidRPr="00D835EA">
        <w:rPr>
          <w:bCs/>
          <w:lang w:val="en-US"/>
        </w:rPr>
        <w:t>Mo</w:t>
      </w:r>
      <w:r w:rsidR="00E43628" w:rsidRPr="00D835EA">
        <w:rPr>
          <w:bCs/>
          <w:vertAlign w:val="subscript"/>
          <w:lang w:val="en-US"/>
        </w:rPr>
        <w:t>9</w:t>
      </w:r>
      <w:r w:rsidR="00E43628" w:rsidRPr="00D835EA">
        <w:rPr>
          <w:bCs/>
          <w:lang w:val="en-US"/>
        </w:rPr>
        <w:t>Ge</w:t>
      </w:r>
      <w:r w:rsidR="00E43628" w:rsidRPr="00D835EA">
        <w:rPr>
          <w:bCs/>
          <w:vertAlign w:val="subscript"/>
          <w:lang w:val="en-US"/>
        </w:rPr>
        <w:t>16</w:t>
      </w:r>
      <w:r w:rsidR="00E43628" w:rsidRPr="00D835EA">
        <w:rPr>
          <w:lang w:val="en-US"/>
        </w:rPr>
        <w:t xml:space="preserve"> (space group </w:t>
      </w:r>
      <w:r w:rsidR="00E43628" w:rsidRPr="00D835EA">
        <w:rPr>
          <w:i/>
          <w:lang w:val="en-US"/>
        </w:rPr>
        <w:t>I</w:t>
      </w:r>
      <w:r w:rsidR="00E43628" w:rsidRPr="00D835EA">
        <w:rPr>
          <w:lang w:val="en-US"/>
        </w:rPr>
        <w:t>4</w:t>
      </w:r>
      <w:r w:rsidR="00E43628" w:rsidRPr="00D835EA">
        <w:rPr>
          <w:vertAlign w:val="subscript"/>
          <w:lang w:val="en-US"/>
        </w:rPr>
        <w:t>1</w:t>
      </w:r>
      <w:r w:rsidR="00E43628" w:rsidRPr="00D835EA">
        <w:rPr>
          <w:lang w:val="en-US"/>
        </w:rPr>
        <w:t xml:space="preserve">22, Pearson symbol </w:t>
      </w:r>
      <w:r w:rsidR="00E43628" w:rsidRPr="00D835EA">
        <w:rPr>
          <w:i/>
          <w:lang w:val="en-US"/>
        </w:rPr>
        <w:t>tI</w:t>
      </w:r>
      <w:r w:rsidR="00E43628" w:rsidRPr="00D835EA">
        <w:rPr>
          <w:lang w:val="en-US"/>
        </w:rPr>
        <w:t xml:space="preserve">100, </w:t>
      </w:r>
      <w:r w:rsidR="00E43628" w:rsidRPr="00D835EA">
        <w:rPr>
          <w:i/>
          <w:iCs/>
          <w:lang w:val="en-US"/>
        </w:rPr>
        <w:t>a</w:t>
      </w:r>
      <w:r w:rsidR="00141FC5" w:rsidRPr="00D835EA">
        <w:rPr>
          <w:lang w:val="en-US"/>
        </w:rPr>
        <w:t> </w:t>
      </w:r>
      <w:r w:rsidR="00E43628" w:rsidRPr="00D835EA">
        <w:rPr>
          <w:lang w:val="en-US"/>
        </w:rPr>
        <w:t>=</w:t>
      </w:r>
      <w:r w:rsidR="00141FC5" w:rsidRPr="00D835EA">
        <w:rPr>
          <w:lang w:val="en-US"/>
        </w:rPr>
        <w:t> </w:t>
      </w:r>
      <w:r w:rsidR="00E43628" w:rsidRPr="00D835EA">
        <w:rPr>
          <w:lang w:val="en-US"/>
        </w:rPr>
        <w:t xml:space="preserve">5.99324(3), </w:t>
      </w:r>
      <w:r w:rsidR="00E43628" w:rsidRPr="00D835EA">
        <w:rPr>
          <w:i/>
          <w:iCs/>
          <w:lang w:val="en-US"/>
        </w:rPr>
        <w:t>c</w:t>
      </w:r>
      <w:r w:rsidR="00141FC5" w:rsidRPr="00D835EA">
        <w:rPr>
          <w:lang w:val="en-US"/>
        </w:rPr>
        <w:t> </w:t>
      </w:r>
      <w:r w:rsidR="00E43628" w:rsidRPr="00D835EA">
        <w:rPr>
          <w:lang w:val="en-US"/>
        </w:rPr>
        <w:t>=</w:t>
      </w:r>
      <w:r w:rsidR="00141FC5" w:rsidRPr="00D835EA">
        <w:rPr>
          <w:lang w:val="en-US"/>
        </w:rPr>
        <w:t> </w:t>
      </w:r>
      <w:r w:rsidR="00E43628" w:rsidRPr="00D835EA">
        <w:rPr>
          <w:lang w:val="en-US"/>
        </w:rPr>
        <w:t xml:space="preserve">44.0005(3) Å and </w:t>
      </w:r>
      <w:r w:rsidR="00E43628" w:rsidRPr="00D835EA">
        <w:rPr>
          <w:bCs/>
          <w:lang w:val="en-US"/>
        </w:rPr>
        <w:t>Mo</w:t>
      </w:r>
      <w:r w:rsidR="00E43628" w:rsidRPr="00D835EA">
        <w:rPr>
          <w:bCs/>
          <w:vertAlign w:val="subscript"/>
          <w:lang w:val="en-US"/>
        </w:rPr>
        <w:t>22</w:t>
      </w:r>
      <w:r w:rsidR="00E43628" w:rsidRPr="00D835EA">
        <w:rPr>
          <w:bCs/>
          <w:lang w:val="en-US"/>
        </w:rPr>
        <w:t>Ge</w:t>
      </w:r>
      <w:r w:rsidR="00E43628" w:rsidRPr="00D835EA">
        <w:rPr>
          <w:bCs/>
          <w:vertAlign w:val="subscript"/>
          <w:lang w:val="en-US"/>
        </w:rPr>
        <w:t>39</w:t>
      </w:r>
      <w:r w:rsidR="00E43628" w:rsidRPr="00D835EA">
        <w:rPr>
          <w:bCs/>
          <w:lang w:val="en-US"/>
        </w:rPr>
        <w:t>, (</w:t>
      </w:r>
      <w:r w:rsidR="00E43628" w:rsidRPr="00D835EA">
        <w:rPr>
          <w:bCs/>
          <w:i/>
          <w:lang w:val="en-US"/>
        </w:rPr>
        <w:t>P</w:t>
      </w:r>
      <w:r w:rsidR="00E43628" w:rsidRPr="00D835EA">
        <w:rPr>
          <w:bCs/>
          <w:lang w:val="en-US"/>
        </w:rPr>
        <w:t>-4</w:t>
      </w:r>
      <w:r w:rsidR="00E43628" w:rsidRPr="00D835EA">
        <w:rPr>
          <w:bCs/>
          <w:i/>
          <w:lang w:val="en-US"/>
        </w:rPr>
        <w:t>c</w:t>
      </w:r>
      <w:r w:rsidR="00E43628" w:rsidRPr="00D835EA">
        <w:rPr>
          <w:bCs/>
          <w:lang w:val="en-US"/>
        </w:rPr>
        <w:t xml:space="preserve">2, </w:t>
      </w:r>
      <w:r w:rsidR="00E43628" w:rsidRPr="00D835EA">
        <w:rPr>
          <w:bCs/>
          <w:i/>
          <w:lang w:val="en-US"/>
        </w:rPr>
        <w:t>tP</w:t>
      </w:r>
      <w:r w:rsidR="00E43628" w:rsidRPr="00D835EA">
        <w:rPr>
          <w:bCs/>
          <w:lang w:val="en-US"/>
        </w:rPr>
        <w:t xml:space="preserve">244, </w:t>
      </w:r>
      <w:r w:rsidR="00E43628" w:rsidRPr="00D835EA">
        <w:rPr>
          <w:bCs/>
          <w:i/>
          <w:iCs/>
          <w:lang w:val="en-US"/>
        </w:rPr>
        <w:t>a</w:t>
      </w:r>
      <w:r w:rsidR="00141FC5" w:rsidRPr="00D835EA">
        <w:rPr>
          <w:bCs/>
          <w:lang w:val="en-US"/>
        </w:rPr>
        <w:t> </w:t>
      </w:r>
      <w:r w:rsidR="00E43628" w:rsidRPr="00D835EA">
        <w:rPr>
          <w:bCs/>
          <w:lang w:val="en-US"/>
        </w:rPr>
        <w:t>=</w:t>
      </w:r>
      <w:r w:rsidR="00141FC5" w:rsidRPr="00D835EA">
        <w:rPr>
          <w:bCs/>
          <w:lang w:val="en-US"/>
        </w:rPr>
        <w:t> </w:t>
      </w:r>
      <w:r w:rsidR="00E43628" w:rsidRPr="00D835EA">
        <w:rPr>
          <w:bCs/>
          <w:lang w:val="en-US"/>
        </w:rPr>
        <w:t xml:space="preserve">5.99119(4), </w:t>
      </w:r>
      <w:r w:rsidR="00E43628" w:rsidRPr="00D835EA">
        <w:rPr>
          <w:bCs/>
          <w:i/>
          <w:iCs/>
          <w:lang w:val="en-US"/>
        </w:rPr>
        <w:t>c</w:t>
      </w:r>
      <w:r w:rsidR="00141FC5" w:rsidRPr="00D835EA">
        <w:rPr>
          <w:bCs/>
          <w:lang w:val="en-US"/>
        </w:rPr>
        <w:t> </w:t>
      </w:r>
      <w:r w:rsidR="00E43628" w:rsidRPr="00D835EA">
        <w:rPr>
          <w:bCs/>
          <w:lang w:val="en-US"/>
        </w:rPr>
        <w:t>=</w:t>
      </w:r>
      <w:r w:rsidR="00141FC5" w:rsidRPr="00D835EA">
        <w:rPr>
          <w:bCs/>
          <w:lang w:val="en-US"/>
        </w:rPr>
        <w:t> </w:t>
      </w:r>
      <w:r w:rsidR="00E43628" w:rsidRPr="00D835EA">
        <w:rPr>
          <w:bCs/>
          <w:lang w:val="en-US"/>
        </w:rPr>
        <w:t xml:space="preserve">107.509(2) Å). </w:t>
      </w:r>
      <w:r w:rsidR="00E43628" w:rsidRPr="00D835EA">
        <w:rPr>
          <w:color w:val="000000"/>
          <w:lang w:val="en-US"/>
        </w:rPr>
        <w:t>The structure</w:t>
      </w:r>
      <w:r w:rsidRPr="00D835EA">
        <w:rPr>
          <w:color w:val="000000"/>
          <w:lang w:val="en-US"/>
        </w:rPr>
        <w:t>s</w:t>
      </w:r>
      <w:r w:rsidR="00E43628" w:rsidRPr="00D835EA">
        <w:rPr>
          <w:color w:val="000000"/>
          <w:lang w:val="en-US"/>
        </w:rPr>
        <w:t xml:space="preserve"> of these compounds also belong to the Nowotny </w:t>
      </w:r>
      <w:r w:rsidR="00141FC5" w:rsidRPr="00D835EA">
        <w:rPr>
          <w:color w:val="000000"/>
          <w:lang w:val="en-US"/>
        </w:rPr>
        <w:t>c</w:t>
      </w:r>
      <w:r w:rsidR="00E43628" w:rsidRPr="00D835EA">
        <w:rPr>
          <w:color w:val="000000"/>
          <w:lang w:val="en-US"/>
        </w:rPr>
        <w:t>himney-</w:t>
      </w:r>
      <w:r w:rsidR="00141FC5" w:rsidRPr="00D835EA">
        <w:rPr>
          <w:color w:val="000000"/>
          <w:lang w:val="en-US"/>
        </w:rPr>
        <w:t>l</w:t>
      </w:r>
      <w:r w:rsidR="00E43628" w:rsidRPr="00D835EA">
        <w:rPr>
          <w:color w:val="000000"/>
          <w:lang w:val="en-US"/>
        </w:rPr>
        <w:t>adder phases.</w:t>
      </w:r>
      <w:r w:rsidR="006A0B4C" w:rsidRPr="00D835EA">
        <w:rPr>
          <w:color w:val="000000"/>
          <w:lang w:val="en-US"/>
        </w:rPr>
        <w:t xml:space="preserve"> </w:t>
      </w:r>
      <w:r w:rsidR="007B2008" w:rsidRPr="00D835EA">
        <w:rPr>
          <w:color w:val="000000"/>
          <w:lang w:val="en-US"/>
        </w:rPr>
        <w:t xml:space="preserve">The structure of </w:t>
      </w:r>
      <w:r w:rsidR="006E79DF" w:rsidRPr="00D835EA">
        <w:rPr>
          <w:bCs/>
          <w:lang w:val="en-US"/>
        </w:rPr>
        <w:t>Mo</w:t>
      </w:r>
      <w:r w:rsidR="006E79DF" w:rsidRPr="00D835EA">
        <w:rPr>
          <w:bCs/>
          <w:vertAlign w:val="subscript"/>
          <w:lang w:val="en-US"/>
        </w:rPr>
        <w:t>9</w:t>
      </w:r>
      <w:r w:rsidR="006E79DF" w:rsidRPr="00D835EA">
        <w:rPr>
          <w:bCs/>
          <w:lang w:val="en-US"/>
        </w:rPr>
        <w:t>Ge</w:t>
      </w:r>
      <w:r w:rsidR="006E79DF" w:rsidRPr="00D835EA">
        <w:rPr>
          <w:bCs/>
          <w:vertAlign w:val="subscript"/>
          <w:lang w:val="en-US"/>
        </w:rPr>
        <w:t>16</w:t>
      </w:r>
      <w:r w:rsidR="007B2008" w:rsidRPr="00D835EA">
        <w:rPr>
          <w:color w:val="000000"/>
          <w:lang w:val="en-US"/>
        </w:rPr>
        <w:t xml:space="preserve"> </w:t>
      </w:r>
      <w:r w:rsidRPr="00D835EA">
        <w:rPr>
          <w:color w:val="000000"/>
          <w:lang w:val="en-US"/>
        </w:rPr>
        <w:t>wa</w:t>
      </w:r>
      <w:r w:rsidR="007B2008" w:rsidRPr="00D835EA">
        <w:rPr>
          <w:color w:val="000000"/>
          <w:lang w:val="en-US"/>
        </w:rPr>
        <w:t>s refined as ordered and the unit</w:t>
      </w:r>
      <w:r w:rsidRPr="00D835EA">
        <w:rPr>
          <w:color w:val="000000"/>
          <w:lang w:val="en-US"/>
        </w:rPr>
        <w:t xml:space="preserve"> </w:t>
      </w:r>
      <w:r w:rsidR="007B2008" w:rsidRPr="00D835EA">
        <w:rPr>
          <w:color w:val="000000"/>
          <w:lang w:val="en-US"/>
        </w:rPr>
        <w:t xml:space="preserve">cell consists of 9 pseudo-cells of the transition metal substructure (Mo) and 16 pseudo-cells of the main group element (Ge). </w:t>
      </w:r>
      <w:r w:rsidR="00120B1B" w:rsidRPr="00D835EA">
        <w:rPr>
          <w:color w:val="000000"/>
          <w:lang w:val="en-US"/>
        </w:rPr>
        <w:t xml:space="preserve">The atomic coordinates and isotropic displacement parameters of the </w:t>
      </w:r>
      <w:r w:rsidR="00120B1B" w:rsidRPr="00D835EA">
        <w:rPr>
          <w:bCs/>
          <w:color w:val="000000"/>
          <w:lang w:val="en-US"/>
        </w:rPr>
        <w:t>Mo</w:t>
      </w:r>
      <w:r w:rsidR="00120B1B" w:rsidRPr="00D835EA">
        <w:rPr>
          <w:bCs/>
          <w:color w:val="000000"/>
          <w:vertAlign w:val="subscript"/>
          <w:lang w:val="en-US"/>
        </w:rPr>
        <w:t>9</w:t>
      </w:r>
      <w:r w:rsidR="00120B1B" w:rsidRPr="00D835EA">
        <w:rPr>
          <w:bCs/>
          <w:color w:val="000000"/>
          <w:lang w:val="en-US"/>
        </w:rPr>
        <w:t>Ge</w:t>
      </w:r>
      <w:r w:rsidR="00120B1B" w:rsidRPr="00D835EA">
        <w:rPr>
          <w:bCs/>
          <w:color w:val="000000"/>
          <w:vertAlign w:val="subscript"/>
          <w:lang w:val="en-US"/>
        </w:rPr>
        <w:t>16</w:t>
      </w:r>
      <w:r w:rsidR="00120B1B" w:rsidRPr="00D835EA">
        <w:rPr>
          <w:bCs/>
          <w:color w:val="000000"/>
          <w:lang w:val="en-US"/>
        </w:rPr>
        <w:t xml:space="preserve"> compound are given in the table below. </w:t>
      </w:r>
      <w:r w:rsidR="007B2008" w:rsidRPr="00D835EA">
        <w:rPr>
          <w:color w:val="000000"/>
          <w:lang w:val="en-US"/>
        </w:rPr>
        <w:t xml:space="preserve">The structure of </w:t>
      </w:r>
      <w:r w:rsidR="006E79DF" w:rsidRPr="00D835EA">
        <w:rPr>
          <w:color w:val="000000"/>
          <w:lang w:val="en-US"/>
        </w:rPr>
        <w:t xml:space="preserve">the </w:t>
      </w:r>
      <w:r w:rsidR="006E79DF" w:rsidRPr="00D835EA">
        <w:rPr>
          <w:bCs/>
          <w:lang w:val="en-US"/>
        </w:rPr>
        <w:t>Mo</w:t>
      </w:r>
      <w:r w:rsidR="006E79DF" w:rsidRPr="00D835EA">
        <w:rPr>
          <w:bCs/>
          <w:vertAlign w:val="subscript"/>
          <w:lang w:val="en-US"/>
        </w:rPr>
        <w:t>22</w:t>
      </w:r>
      <w:r w:rsidR="006E79DF" w:rsidRPr="00D835EA">
        <w:rPr>
          <w:bCs/>
          <w:lang w:val="en-US"/>
        </w:rPr>
        <w:t>Ge</w:t>
      </w:r>
      <w:r w:rsidR="006E79DF" w:rsidRPr="00D835EA">
        <w:rPr>
          <w:bCs/>
          <w:vertAlign w:val="subscript"/>
          <w:lang w:val="en-US"/>
        </w:rPr>
        <w:t>39</w:t>
      </w:r>
      <w:r w:rsidR="007B2008" w:rsidRPr="00D835EA">
        <w:rPr>
          <w:color w:val="000000"/>
          <w:lang w:val="en-US"/>
        </w:rPr>
        <w:t xml:space="preserve"> compound is </w:t>
      </w:r>
      <w:r w:rsidRPr="00D835EA">
        <w:rPr>
          <w:color w:val="000000"/>
          <w:lang w:val="en-US"/>
        </w:rPr>
        <w:t>in</w:t>
      </w:r>
      <w:r w:rsidR="007B2008" w:rsidRPr="00D835EA">
        <w:rPr>
          <w:color w:val="000000"/>
          <w:lang w:val="en-US"/>
        </w:rPr>
        <w:t xml:space="preserve">commensurately modulated and the approximant (average structure) consists of 22 pseudo-cells of the transition metal substructure (Mo) and 39 pseudo-cells of the main group element (Ge), the combination of which gives a cell with </w:t>
      </w:r>
      <w:r w:rsidR="007B2008" w:rsidRPr="00D835EA">
        <w:rPr>
          <w:i/>
          <w:iCs/>
          <w:color w:val="000000"/>
          <w:lang w:val="en-US"/>
        </w:rPr>
        <w:t>c</w:t>
      </w:r>
      <w:r w:rsidR="00141FC5" w:rsidRPr="00D835EA">
        <w:rPr>
          <w:color w:val="000000"/>
          <w:lang w:val="en-US"/>
        </w:rPr>
        <w:t> </w:t>
      </w:r>
      <w:r w:rsidR="007B2008" w:rsidRPr="00D835EA">
        <w:rPr>
          <w:color w:val="000000"/>
          <w:lang w:val="en-US"/>
        </w:rPr>
        <w:t>=</w:t>
      </w:r>
      <w:r w:rsidR="00141FC5" w:rsidRPr="00D835EA">
        <w:rPr>
          <w:color w:val="000000"/>
          <w:lang w:val="en-US"/>
        </w:rPr>
        <w:t> </w:t>
      </w:r>
      <w:r w:rsidR="007B2008" w:rsidRPr="00D835EA">
        <w:rPr>
          <w:bCs/>
          <w:color w:val="000000"/>
          <w:lang w:val="en-US"/>
        </w:rPr>
        <w:t>107.509(2)</w:t>
      </w:r>
      <w:r w:rsidR="00141FC5" w:rsidRPr="00D835EA">
        <w:rPr>
          <w:bCs/>
          <w:color w:val="000000"/>
          <w:lang w:val="en-US"/>
        </w:rPr>
        <w:t> </w:t>
      </w:r>
      <w:r w:rsidR="007B2008" w:rsidRPr="00D835EA">
        <w:rPr>
          <w:color w:val="000000"/>
          <w:lang w:val="en-US"/>
        </w:rPr>
        <w:t>Å.</w:t>
      </w:r>
    </w:p>
    <w:p w14:paraId="343A513F" w14:textId="4C7D62F8" w:rsidR="00141FC5" w:rsidRPr="00D835EA" w:rsidRDefault="00071BD7" w:rsidP="00141FC5">
      <w:pPr>
        <w:jc w:val="center"/>
        <w:rPr>
          <w:color w:val="000000"/>
          <w:lang w:val="en-US"/>
        </w:rPr>
      </w:pPr>
      <w:r w:rsidRPr="00D835EA">
        <w:rPr>
          <w:b/>
          <w:lang w:val="en-US"/>
        </w:rPr>
        <w:t>Table</w:t>
      </w:r>
      <w:r w:rsidRPr="00D835EA">
        <w:rPr>
          <w:lang w:val="en-US"/>
        </w:rPr>
        <w:t xml:space="preserve"> Atomic coordinates for the </w:t>
      </w:r>
      <w:r w:rsidRPr="00D835EA">
        <w:rPr>
          <w:bCs/>
          <w:lang w:val="en-US"/>
        </w:rPr>
        <w:t>Mo</w:t>
      </w:r>
      <w:r w:rsidRPr="00D835EA">
        <w:rPr>
          <w:bCs/>
          <w:vertAlign w:val="subscript"/>
          <w:lang w:val="en-US"/>
        </w:rPr>
        <w:t>9</w:t>
      </w:r>
      <w:r w:rsidRPr="00D835EA">
        <w:rPr>
          <w:bCs/>
          <w:lang w:val="en-US"/>
        </w:rPr>
        <w:t>Ge</w:t>
      </w:r>
      <w:r w:rsidRPr="00D835EA">
        <w:rPr>
          <w:bCs/>
          <w:vertAlign w:val="subscript"/>
          <w:lang w:val="en-US"/>
        </w:rPr>
        <w:t>16</w:t>
      </w:r>
      <w:r w:rsidRPr="00D835EA">
        <w:rPr>
          <w:lang w:val="en-US"/>
        </w:rPr>
        <w:t xml:space="preserve"> compound </w:t>
      </w:r>
      <w:r w:rsidR="00141FC5" w:rsidRPr="00D835EA">
        <w:rPr>
          <w:lang w:val="en-US"/>
        </w:rPr>
        <w:br/>
      </w:r>
      <w:r w:rsidRPr="00D835EA">
        <w:rPr>
          <w:lang w:val="en-US"/>
        </w:rPr>
        <w:t xml:space="preserve">(space group </w:t>
      </w:r>
      <w:r w:rsidRPr="00D835EA">
        <w:rPr>
          <w:i/>
          <w:lang w:val="en-US"/>
        </w:rPr>
        <w:t>I</w:t>
      </w:r>
      <w:r w:rsidRPr="00D835EA">
        <w:rPr>
          <w:lang w:val="en-US"/>
        </w:rPr>
        <w:t>4</w:t>
      </w:r>
      <w:r w:rsidRPr="00D835EA">
        <w:rPr>
          <w:vertAlign w:val="subscript"/>
          <w:lang w:val="en-US"/>
        </w:rPr>
        <w:t>1</w:t>
      </w:r>
      <w:r w:rsidRPr="00D835EA">
        <w:rPr>
          <w:lang w:val="en-US"/>
        </w:rPr>
        <w:t>22 (</w:t>
      </w:r>
      <w:r w:rsidR="00141FC5" w:rsidRPr="00D835EA">
        <w:rPr>
          <w:lang w:val="en-US"/>
        </w:rPr>
        <w:t>#</w:t>
      </w:r>
      <w:r w:rsidRPr="00D835EA">
        <w:rPr>
          <w:lang w:val="en-US"/>
        </w:rPr>
        <w:t xml:space="preserve">98), Pearson symbol </w:t>
      </w:r>
      <w:r w:rsidRPr="00D835EA">
        <w:rPr>
          <w:i/>
          <w:lang w:val="en-US"/>
        </w:rPr>
        <w:t>tI</w:t>
      </w:r>
      <w:r w:rsidRPr="00D835EA">
        <w:rPr>
          <w:lang w:val="en-US"/>
        </w:rPr>
        <w:t xml:space="preserve">100, </w:t>
      </w:r>
      <w:r w:rsidRPr="00D835EA">
        <w:rPr>
          <w:i/>
          <w:iCs/>
          <w:lang w:val="en-US"/>
        </w:rPr>
        <w:t>a</w:t>
      </w:r>
      <w:r w:rsidR="00141FC5" w:rsidRPr="00D835EA">
        <w:rPr>
          <w:lang w:val="en-US"/>
        </w:rPr>
        <w:t> </w:t>
      </w:r>
      <w:r w:rsidRPr="00D835EA">
        <w:rPr>
          <w:lang w:val="en-US"/>
        </w:rPr>
        <w:t>=</w:t>
      </w:r>
      <w:r w:rsidR="00141FC5" w:rsidRPr="00D835EA">
        <w:rPr>
          <w:lang w:val="en-US"/>
        </w:rPr>
        <w:t> </w:t>
      </w:r>
      <w:r w:rsidRPr="00D835EA">
        <w:rPr>
          <w:lang w:val="en-US"/>
        </w:rPr>
        <w:t xml:space="preserve">5.99324(3), </w:t>
      </w:r>
      <w:r w:rsidRPr="00D835EA">
        <w:rPr>
          <w:i/>
          <w:iCs/>
          <w:lang w:val="en-US"/>
        </w:rPr>
        <w:t>c</w:t>
      </w:r>
      <w:r w:rsidR="00141FC5" w:rsidRPr="00D835EA">
        <w:rPr>
          <w:lang w:val="en-US"/>
        </w:rPr>
        <w:t> </w:t>
      </w:r>
      <w:r w:rsidRPr="00D835EA">
        <w:rPr>
          <w:lang w:val="en-US"/>
        </w:rPr>
        <w:t>=</w:t>
      </w:r>
      <w:r w:rsidR="00141FC5" w:rsidRPr="00D835EA">
        <w:rPr>
          <w:lang w:val="en-US"/>
        </w:rPr>
        <w:t> </w:t>
      </w:r>
      <w:r w:rsidRPr="00D835EA">
        <w:rPr>
          <w:lang w:val="en-US"/>
        </w:rPr>
        <w:t>44.0005(3) Å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22"/>
        <w:gridCol w:w="1683"/>
        <w:gridCol w:w="1994"/>
        <w:gridCol w:w="1994"/>
        <w:gridCol w:w="1994"/>
        <w:gridCol w:w="1903"/>
      </w:tblGrid>
      <w:tr w:rsidR="00071BD7" w:rsidRPr="00D835EA" w14:paraId="34FC8A9F" w14:textId="77777777" w:rsidTr="00141FC5">
        <w:trPr>
          <w:trHeight w:val="20"/>
          <w:jc w:val="center"/>
        </w:trPr>
        <w:tc>
          <w:tcPr>
            <w:tcW w:w="566" w:type="pct"/>
            <w:vMerge w:val="restart"/>
            <w:vAlign w:val="center"/>
          </w:tcPr>
          <w:p w14:paraId="08B6710C" w14:textId="4508C21A" w:rsidR="00141FC5" w:rsidRPr="00D835EA" w:rsidRDefault="00071BD7" w:rsidP="00141FC5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Atom</w:t>
            </w:r>
          </w:p>
        </w:tc>
        <w:tc>
          <w:tcPr>
            <w:tcW w:w="780" w:type="pct"/>
            <w:vMerge w:val="restart"/>
            <w:vAlign w:val="center"/>
          </w:tcPr>
          <w:p w14:paraId="5A1B9E24" w14:textId="55B87628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rStyle w:val="rdis"/>
                <w:sz w:val="20"/>
                <w:lang w:val="en-US"/>
              </w:rPr>
              <w:t>W</w:t>
            </w:r>
            <w:r w:rsidR="00E973CC" w:rsidRPr="00D835EA">
              <w:rPr>
                <w:rStyle w:val="rdis"/>
                <w:sz w:val="20"/>
                <w:lang w:val="en-US"/>
              </w:rPr>
              <w:t>y</w:t>
            </w:r>
            <w:proofErr w:type="spellStart"/>
            <w:r w:rsidR="00E973CC" w:rsidRPr="00D835EA">
              <w:rPr>
                <w:rStyle w:val="rdis"/>
                <w:sz w:val="20"/>
              </w:rPr>
              <w:t>ckoff</w:t>
            </w:r>
            <w:proofErr w:type="spellEnd"/>
            <w:r w:rsidR="00E973CC" w:rsidRPr="00D835EA">
              <w:rPr>
                <w:rStyle w:val="rdis"/>
                <w:sz w:val="20"/>
                <w:lang w:val="en-US"/>
              </w:rPr>
              <w:br/>
            </w:r>
            <w:r w:rsidR="00141FC5" w:rsidRPr="00D835EA">
              <w:rPr>
                <w:rStyle w:val="rdis"/>
                <w:sz w:val="20"/>
                <w:lang w:val="en-US"/>
              </w:rPr>
              <w:t>p</w:t>
            </w:r>
            <w:proofErr w:type="spellStart"/>
            <w:r w:rsidR="00E973CC" w:rsidRPr="00D835EA">
              <w:rPr>
                <w:rStyle w:val="rdis"/>
                <w:sz w:val="20"/>
              </w:rPr>
              <w:t>osition</w:t>
            </w:r>
            <w:proofErr w:type="spellEnd"/>
          </w:p>
        </w:tc>
        <w:tc>
          <w:tcPr>
            <w:tcW w:w="2772" w:type="pct"/>
            <w:gridSpan w:val="3"/>
            <w:vAlign w:val="center"/>
          </w:tcPr>
          <w:p w14:paraId="708EC18A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rStyle w:val="rdis"/>
                <w:sz w:val="20"/>
                <w:lang w:val="en-US"/>
              </w:rPr>
              <w:t>Atomic coordinates</w:t>
            </w:r>
          </w:p>
        </w:tc>
        <w:tc>
          <w:tcPr>
            <w:tcW w:w="882" w:type="pct"/>
            <w:vMerge w:val="restart"/>
            <w:vAlign w:val="center"/>
          </w:tcPr>
          <w:p w14:paraId="2FA3ABA4" w14:textId="50443480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i/>
                <w:lang w:val="en-US"/>
              </w:rPr>
              <w:t>B</w:t>
            </w:r>
            <w:r w:rsidRPr="00D835EA">
              <w:rPr>
                <w:vertAlign w:val="subscript"/>
                <w:lang w:val="en-US"/>
              </w:rPr>
              <w:t>iso</w:t>
            </w:r>
            <w:r w:rsidRPr="00D835EA">
              <w:rPr>
                <w:lang w:val="en-US"/>
              </w:rPr>
              <w:t xml:space="preserve"> (Å</w:t>
            </w:r>
            <w:r w:rsidRPr="00D835EA">
              <w:rPr>
                <w:vertAlign w:val="superscript"/>
                <w:lang w:val="en-US"/>
              </w:rPr>
              <w:t>2</w:t>
            </w:r>
            <w:r w:rsidRPr="00D835EA">
              <w:rPr>
                <w:lang w:val="en-US"/>
              </w:rPr>
              <w:t>)</w:t>
            </w:r>
          </w:p>
        </w:tc>
      </w:tr>
      <w:tr w:rsidR="00071BD7" w:rsidRPr="00D835EA" w14:paraId="71048107" w14:textId="77777777" w:rsidTr="00141FC5">
        <w:trPr>
          <w:trHeight w:val="20"/>
          <w:jc w:val="center"/>
        </w:trPr>
        <w:tc>
          <w:tcPr>
            <w:tcW w:w="566" w:type="pct"/>
            <w:vMerge/>
            <w:tcBorders>
              <w:bottom w:val="single" w:sz="4" w:space="0" w:color="auto"/>
            </w:tcBorders>
            <w:vAlign w:val="center"/>
          </w:tcPr>
          <w:p w14:paraId="575EB9A5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vAlign w:val="center"/>
          </w:tcPr>
          <w:p w14:paraId="6804DE82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1DD90CD3" w14:textId="77777777" w:rsidR="00071BD7" w:rsidRPr="00D835EA" w:rsidRDefault="00071BD7" w:rsidP="00071BD7">
            <w:pPr>
              <w:spacing w:after="0"/>
              <w:jc w:val="center"/>
              <w:rPr>
                <w:i/>
                <w:lang w:val="en-US"/>
              </w:rPr>
            </w:pPr>
            <w:r w:rsidRPr="00D835EA">
              <w:rPr>
                <w:i/>
                <w:lang w:val="en-US"/>
              </w:rPr>
              <w:t>x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ACDCE33" w14:textId="77777777" w:rsidR="00071BD7" w:rsidRPr="00D835EA" w:rsidRDefault="00071BD7" w:rsidP="00071BD7">
            <w:pPr>
              <w:spacing w:after="0"/>
              <w:jc w:val="center"/>
              <w:rPr>
                <w:i/>
                <w:lang w:val="en-US"/>
              </w:rPr>
            </w:pPr>
            <w:r w:rsidRPr="00D835EA">
              <w:rPr>
                <w:i/>
                <w:lang w:val="en-US"/>
              </w:rPr>
              <w:t>y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14:paraId="346C424F" w14:textId="77777777" w:rsidR="00071BD7" w:rsidRPr="00D835EA" w:rsidRDefault="00071BD7" w:rsidP="00071BD7">
            <w:pPr>
              <w:spacing w:after="0"/>
              <w:jc w:val="center"/>
              <w:rPr>
                <w:i/>
                <w:lang w:val="en-US"/>
              </w:rPr>
            </w:pPr>
            <w:r w:rsidRPr="00D835EA">
              <w:rPr>
                <w:i/>
                <w:lang w:val="en-US"/>
              </w:rPr>
              <w:t>z</w:t>
            </w:r>
          </w:p>
        </w:tc>
        <w:tc>
          <w:tcPr>
            <w:tcW w:w="882" w:type="pct"/>
            <w:vMerge/>
            <w:tcBorders>
              <w:bottom w:val="single" w:sz="4" w:space="0" w:color="auto"/>
            </w:tcBorders>
          </w:tcPr>
          <w:p w14:paraId="3838AAFD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</w:p>
        </w:tc>
      </w:tr>
      <w:tr w:rsidR="00071BD7" w:rsidRPr="00D835EA" w14:paraId="75D9570D" w14:textId="77777777" w:rsidTr="00141FC5">
        <w:trPr>
          <w:trHeight w:val="20"/>
          <w:jc w:val="center"/>
        </w:trPr>
        <w:tc>
          <w:tcPr>
            <w:tcW w:w="566" w:type="pct"/>
            <w:tcBorders>
              <w:bottom w:val="nil"/>
            </w:tcBorders>
          </w:tcPr>
          <w:p w14:paraId="54D6D092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Mo1</w:t>
            </w:r>
          </w:p>
        </w:tc>
        <w:tc>
          <w:tcPr>
            <w:tcW w:w="780" w:type="pct"/>
            <w:tcBorders>
              <w:bottom w:val="nil"/>
            </w:tcBorders>
            <w:vAlign w:val="center"/>
          </w:tcPr>
          <w:p w14:paraId="500C4196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4</w:t>
            </w:r>
            <w:r w:rsidRPr="00D835EA">
              <w:rPr>
                <w:i/>
                <w:lang w:val="en-US"/>
              </w:rPr>
              <w:t>a</w:t>
            </w:r>
          </w:p>
        </w:tc>
        <w:tc>
          <w:tcPr>
            <w:tcW w:w="924" w:type="pct"/>
            <w:tcBorders>
              <w:bottom w:val="nil"/>
            </w:tcBorders>
          </w:tcPr>
          <w:p w14:paraId="013CFB73" w14:textId="77777777" w:rsidR="00071BD7" w:rsidRPr="00D835EA" w:rsidRDefault="00071BD7" w:rsidP="00071BD7">
            <w:pPr>
              <w:spacing w:after="0"/>
              <w:ind w:left="2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bottom w:val="nil"/>
            </w:tcBorders>
          </w:tcPr>
          <w:p w14:paraId="1B872A18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bottom w:val="nil"/>
            </w:tcBorders>
          </w:tcPr>
          <w:p w14:paraId="2B66A0DB" w14:textId="77777777" w:rsidR="00071BD7" w:rsidRPr="00D835EA" w:rsidRDefault="00071BD7" w:rsidP="00071BD7">
            <w:pPr>
              <w:spacing w:after="0"/>
              <w:ind w:left="14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882" w:type="pct"/>
            <w:tcBorders>
              <w:bottom w:val="nil"/>
            </w:tcBorders>
          </w:tcPr>
          <w:p w14:paraId="1B35B123" w14:textId="77777777" w:rsidR="00071BD7" w:rsidRPr="00D835EA" w:rsidRDefault="00071BD7" w:rsidP="00071BD7">
            <w:pPr>
              <w:tabs>
                <w:tab w:val="center" w:pos="2266"/>
              </w:tabs>
              <w:spacing w:after="0"/>
              <w:ind w:left="15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0.65(2)</w:t>
            </w:r>
          </w:p>
        </w:tc>
      </w:tr>
      <w:tr w:rsidR="00071BD7" w:rsidRPr="00D835EA" w14:paraId="105C83CC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2DED934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Mo2</w:t>
            </w:r>
          </w:p>
        </w:tc>
        <w:tc>
          <w:tcPr>
            <w:tcW w:w="780" w:type="pct"/>
            <w:tcBorders>
              <w:top w:val="nil"/>
              <w:bottom w:val="nil"/>
            </w:tcBorders>
            <w:vAlign w:val="center"/>
          </w:tcPr>
          <w:p w14:paraId="0E3815A3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c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18A2D7F2" w14:textId="77777777" w:rsidR="00071BD7" w:rsidRPr="00D835EA" w:rsidRDefault="00071BD7" w:rsidP="00071BD7">
            <w:pPr>
              <w:spacing w:after="0"/>
              <w:ind w:left="2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3A432E90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3E5E2760" w14:textId="77777777" w:rsidR="00071BD7" w:rsidRPr="00D835EA" w:rsidRDefault="00071BD7" w:rsidP="00071BD7">
            <w:pPr>
              <w:spacing w:after="0"/>
              <w:ind w:left="14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0.7763(1)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3D195848" w14:textId="77777777" w:rsidR="00071BD7" w:rsidRPr="00D835EA" w:rsidRDefault="00071BD7" w:rsidP="00071BD7">
            <w:pPr>
              <w:spacing w:after="0"/>
              <w:ind w:left="15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0.66(2)</w:t>
            </w:r>
          </w:p>
        </w:tc>
      </w:tr>
      <w:tr w:rsidR="00071BD7" w:rsidRPr="00D835EA" w14:paraId="67657C4F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4838E115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Mo3</w:t>
            </w:r>
          </w:p>
        </w:tc>
        <w:tc>
          <w:tcPr>
            <w:tcW w:w="780" w:type="pct"/>
            <w:tcBorders>
              <w:top w:val="nil"/>
              <w:bottom w:val="nil"/>
            </w:tcBorders>
            <w:vAlign w:val="center"/>
          </w:tcPr>
          <w:p w14:paraId="491FB067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c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5FBF4E16" w14:textId="77777777" w:rsidR="00071BD7" w:rsidRPr="00D835EA" w:rsidRDefault="00071BD7" w:rsidP="00071BD7">
            <w:pPr>
              <w:spacing w:after="0"/>
              <w:ind w:left="2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492386B2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72F3394C" w14:textId="77777777" w:rsidR="00071BD7" w:rsidRPr="00D835EA" w:rsidRDefault="00071BD7" w:rsidP="00071BD7">
            <w:pPr>
              <w:spacing w:after="0"/>
              <w:ind w:left="14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0.4463(1)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77EA0241" w14:textId="77777777" w:rsidR="00071BD7" w:rsidRPr="00D835EA" w:rsidRDefault="00071BD7" w:rsidP="00071BD7">
            <w:pPr>
              <w:spacing w:after="0"/>
              <w:ind w:left="15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0.64(2)</w:t>
            </w:r>
          </w:p>
        </w:tc>
      </w:tr>
      <w:tr w:rsidR="00071BD7" w:rsidRPr="00D835EA" w14:paraId="197DC818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3B5ED6EA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Mo4</w:t>
            </w:r>
          </w:p>
        </w:tc>
        <w:tc>
          <w:tcPr>
            <w:tcW w:w="780" w:type="pct"/>
            <w:tcBorders>
              <w:top w:val="nil"/>
              <w:bottom w:val="nil"/>
            </w:tcBorders>
            <w:vAlign w:val="center"/>
          </w:tcPr>
          <w:p w14:paraId="40679E48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c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623010BD" w14:textId="77777777" w:rsidR="00071BD7" w:rsidRPr="00D835EA" w:rsidRDefault="00071BD7" w:rsidP="00071BD7">
            <w:pPr>
              <w:spacing w:after="0"/>
              <w:ind w:left="2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68FF01AB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19EFE340" w14:textId="77777777" w:rsidR="00071BD7" w:rsidRPr="00D835EA" w:rsidRDefault="00071BD7" w:rsidP="00071BD7">
            <w:pPr>
              <w:spacing w:after="0"/>
              <w:ind w:left="14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0.66837(9)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22EDD7D5" w14:textId="77777777" w:rsidR="00071BD7" w:rsidRPr="00D835EA" w:rsidRDefault="00071BD7" w:rsidP="00071BD7">
            <w:pPr>
              <w:spacing w:after="0"/>
              <w:ind w:left="15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0.59(2)</w:t>
            </w:r>
          </w:p>
        </w:tc>
      </w:tr>
      <w:tr w:rsidR="00071BD7" w:rsidRPr="00D835EA" w14:paraId="689C6334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0971FFAA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Mo5</w:t>
            </w:r>
          </w:p>
        </w:tc>
        <w:tc>
          <w:tcPr>
            <w:tcW w:w="780" w:type="pct"/>
            <w:tcBorders>
              <w:top w:val="nil"/>
              <w:bottom w:val="nil"/>
            </w:tcBorders>
            <w:vAlign w:val="center"/>
          </w:tcPr>
          <w:p w14:paraId="7569C00C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c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74F97B66" w14:textId="77777777" w:rsidR="00071BD7" w:rsidRPr="00D835EA" w:rsidRDefault="00071BD7" w:rsidP="00071BD7">
            <w:pPr>
              <w:spacing w:after="0"/>
              <w:ind w:left="2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21FFFFC1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750340CA" w14:textId="77777777" w:rsidR="00071BD7" w:rsidRPr="00D835EA" w:rsidRDefault="00071BD7" w:rsidP="00071BD7">
            <w:pPr>
              <w:spacing w:after="0"/>
              <w:ind w:left="147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0.1108(2)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18D96FA2" w14:textId="77777777" w:rsidR="00071BD7" w:rsidRPr="00D835EA" w:rsidRDefault="00071BD7" w:rsidP="00071BD7">
            <w:pPr>
              <w:spacing w:after="0"/>
              <w:ind w:left="15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0.59(2)</w:t>
            </w:r>
          </w:p>
        </w:tc>
      </w:tr>
      <w:tr w:rsidR="00071BD7" w:rsidRPr="00D835EA" w14:paraId="54C718E2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5296BB6C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Ge1</w:t>
            </w:r>
          </w:p>
        </w:tc>
        <w:tc>
          <w:tcPr>
            <w:tcW w:w="780" w:type="pct"/>
            <w:tcBorders>
              <w:top w:val="nil"/>
              <w:bottom w:val="nil"/>
            </w:tcBorders>
            <w:vAlign w:val="center"/>
          </w:tcPr>
          <w:p w14:paraId="7BA10FE6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f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6CEBD972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0.348(1)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2F01E406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1/4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76958C86" w14:textId="77777777" w:rsidR="00071BD7" w:rsidRPr="00D835EA" w:rsidRDefault="00071BD7" w:rsidP="00071BD7">
            <w:pPr>
              <w:spacing w:after="0"/>
              <w:ind w:left="192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1/8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623CE26B" w14:textId="77777777" w:rsidR="00071BD7" w:rsidRPr="00D835EA" w:rsidRDefault="00071BD7" w:rsidP="00071BD7">
            <w:pPr>
              <w:spacing w:after="0"/>
              <w:ind w:left="24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0.75(2)</w:t>
            </w:r>
          </w:p>
        </w:tc>
      </w:tr>
      <w:tr w:rsidR="00071BD7" w:rsidRPr="00D835EA" w14:paraId="7CE5E4CA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7512732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Ge2</w:t>
            </w:r>
          </w:p>
        </w:tc>
        <w:tc>
          <w:tcPr>
            <w:tcW w:w="780" w:type="pct"/>
            <w:tcBorders>
              <w:top w:val="nil"/>
              <w:bottom w:val="nil"/>
            </w:tcBorders>
          </w:tcPr>
          <w:p w14:paraId="5FD8DCA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8</w:t>
            </w:r>
            <w:r w:rsidRPr="00D835EA">
              <w:rPr>
                <w:i/>
                <w:lang w:val="en-US"/>
              </w:rPr>
              <w:t>d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1D96277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0.3389(7)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24750BE6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0.3389(7)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39564036" w14:textId="77777777" w:rsidR="00071BD7" w:rsidRPr="00D835EA" w:rsidRDefault="00071BD7" w:rsidP="00071BD7">
            <w:pPr>
              <w:spacing w:after="0"/>
              <w:ind w:left="192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3CEA204C" w14:textId="77777777" w:rsidR="00071BD7" w:rsidRPr="00D835EA" w:rsidRDefault="00071BD7" w:rsidP="00071BD7">
            <w:pPr>
              <w:spacing w:after="0"/>
              <w:ind w:left="24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0.69(2)</w:t>
            </w:r>
          </w:p>
        </w:tc>
      </w:tr>
      <w:tr w:rsidR="00071BD7" w:rsidRPr="00D835EA" w14:paraId="68A2074D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1A8709C7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Ge3</w:t>
            </w:r>
          </w:p>
        </w:tc>
        <w:tc>
          <w:tcPr>
            <w:tcW w:w="780" w:type="pct"/>
            <w:tcBorders>
              <w:top w:val="nil"/>
              <w:bottom w:val="nil"/>
            </w:tcBorders>
          </w:tcPr>
          <w:p w14:paraId="498EDC74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16</w:t>
            </w:r>
            <w:r w:rsidRPr="00D835EA">
              <w:rPr>
                <w:i/>
                <w:lang w:val="en-US"/>
              </w:rPr>
              <w:t>g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08AC1AB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0.3163(6)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4D89D0BF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0.8507(7)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3B1A094D" w14:textId="77777777" w:rsidR="00071BD7" w:rsidRPr="00D835EA" w:rsidRDefault="00071BD7" w:rsidP="00071BD7">
            <w:pPr>
              <w:spacing w:after="0"/>
              <w:ind w:left="192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0.03095(8)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70E3A79C" w14:textId="77777777" w:rsidR="00071BD7" w:rsidRPr="00D835EA" w:rsidRDefault="00071BD7" w:rsidP="00071BD7">
            <w:pPr>
              <w:spacing w:after="0"/>
              <w:ind w:left="24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0.78(2)</w:t>
            </w:r>
          </w:p>
        </w:tc>
      </w:tr>
      <w:tr w:rsidR="00071BD7" w:rsidRPr="00D835EA" w14:paraId="545292EE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  <w:bottom w:val="nil"/>
            </w:tcBorders>
          </w:tcPr>
          <w:p w14:paraId="2AFF0A16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Ge4</w:t>
            </w:r>
          </w:p>
        </w:tc>
        <w:tc>
          <w:tcPr>
            <w:tcW w:w="780" w:type="pct"/>
            <w:tcBorders>
              <w:top w:val="nil"/>
              <w:bottom w:val="nil"/>
            </w:tcBorders>
          </w:tcPr>
          <w:p w14:paraId="1532C42A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16</w:t>
            </w:r>
            <w:r w:rsidRPr="00D835EA">
              <w:rPr>
                <w:i/>
                <w:lang w:val="en-US"/>
              </w:rPr>
              <w:t>g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579C2E63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0.2268(5)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1DAC6F79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0.6481(7)</w:t>
            </w:r>
          </w:p>
        </w:tc>
        <w:tc>
          <w:tcPr>
            <w:tcW w:w="924" w:type="pct"/>
            <w:tcBorders>
              <w:top w:val="nil"/>
              <w:bottom w:val="nil"/>
            </w:tcBorders>
          </w:tcPr>
          <w:p w14:paraId="7B3D30D2" w14:textId="77777777" w:rsidR="00071BD7" w:rsidRPr="00D835EA" w:rsidRDefault="00071BD7" w:rsidP="00071BD7">
            <w:pPr>
              <w:spacing w:after="0"/>
              <w:ind w:left="192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0.09242(8)</w:t>
            </w:r>
          </w:p>
        </w:tc>
        <w:tc>
          <w:tcPr>
            <w:tcW w:w="882" w:type="pct"/>
            <w:tcBorders>
              <w:top w:val="nil"/>
              <w:bottom w:val="nil"/>
            </w:tcBorders>
          </w:tcPr>
          <w:p w14:paraId="7586ED82" w14:textId="77777777" w:rsidR="00071BD7" w:rsidRPr="00D835EA" w:rsidRDefault="00071BD7" w:rsidP="00071BD7">
            <w:pPr>
              <w:spacing w:after="0"/>
              <w:ind w:left="24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0.80(2)</w:t>
            </w:r>
          </w:p>
        </w:tc>
      </w:tr>
      <w:tr w:rsidR="00071BD7" w:rsidRPr="00D835EA" w14:paraId="40A138DC" w14:textId="77777777" w:rsidTr="00141FC5">
        <w:trPr>
          <w:trHeight w:val="20"/>
          <w:jc w:val="center"/>
        </w:trPr>
        <w:tc>
          <w:tcPr>
            <w:tcW w:w="566" w:type="pct"/>
            <w:tcBorders>
              <w:top w:val="nil"/>
            </w:tcBorders>
          </w:tcPr>
          <w:p w14:paraId="7EDB944A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Ge5</w:t>
            </w:r>
          </w:p>
        </w:tc>
        <w:tc>
          <w:tcPr>
            <w:tcW w:w="780" w:type="pct"/>
            <w:tcBorders>
              <w:top w:val="nil"/>
            </w:tcBorders>
          </w:tcPr>
          <w:p w14:paraId="48D4E74C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16</w:t>
            </w:r>
            <w:r w:rsidRPr="00D835EA">
              <w:rPr>
                <w:i/>
                <w:lang w:val="en-US"/>
              </w:rPr>
              <w:t>g</w:t>
            </w:r>
          </w:p>
        </w:tc>
        <w:tc>
          <w:tcPr>
            <w:tcW w:w="924" w:type="pct"/>
            <w:tcBorders>
              <w:top w:val="nil"/>
            </w:tcBorders>
          </w:tcPr>
          <w:p w14:paraId="2ABA37BC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0.1498(6)</w:t>
            </w:r>
          </w:p>
        </w:tc>
        <w:tc>
          <w:tcPr>
            <w:tcW w:w="924" w:type="pct"/>
            <w:tcBorders>
              <w:top w:val="nil"/>
            </w:tcBorders>
          </w:tcPr>
          <w:p w14:paraId="44F8FB11" w14:textId="77777777" w:rsidR="00071BD7" w:rsidRPr="00D835EA" w:rsidRDefault="00071BD7" w:rsidP="00071BD7">
            <w:pPr>
              <w:spacing w:after="0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0.1789(5)</w:t>
            </w:r>
          </w:p>
        </w:tc>
        <w:tc>
          <w:tcPr>
            <w:tcW w:w="924" w:type="pct"/>
            <w:tcBorders>
              <w:top w:val="nil"/>
            </w:tcBorders>
          </w:tcPr>
          <w:p w14:paraId="1EC497DD" w14:textId="77777777" w:rsidR="00071BD7" w:rsidRPr="00D835EA" w:rsidRDefault="00071BD7" w:rsidP="00071BD7">
            <w:pPr>
              <w:spacing w:after="0"/>
              <w:ind w:left="192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0.05893(6)</w:t>
            </w:r>
          </w:p>
        </w:tc>
        <w:tc>
          <w:tcPr>
            <w:tcW w:w="882" w:type="pct"/>
            <w:tcBorders>
              <w:top w:val="nil"/>
            </w:tcBorders>
          </w:tcPr>
          <w:p w14:paraId="7702C735" w14:textId="77777777" w:rsidR="00071BD7" w:rsidRPr="00D835EA" w:rsidRDefault="00071BD7" w:rsidP="00071BD7">
            <w:pPr>
              <w:spacing w:after="0"/>
              <w:ind w:left="249"/>
              <w:jc w:val="center"/>
              <w:rPr>
                <w:lang w:val="en-US"/>
              </w:rPr>
            </w:pPr>
            <w:r w:rsidRPr="00D835EA">
              <w:rPr>
                <w:lang w:val="en-US"/>
              </w:rPr>
              <w:t>0.68(2)</w:t>
            </w:r>
          </w:p>
        </w:tc>
      </w:tr>
    </w:tbl>
    <w:p w14:paraId="040F2C76" w14:textId="71EC3EE5" w:rsidR="00C977CC" w:rsidRPr="00D835EA" w:rsidRDefault="006E79DF" w:rsidP="00873C57">
      <w:pPr>
        <w:jc w:val="center"/>
        <w:rPr>
          <w:lang w:val="en-US" w:eastAsia="cs-CZ"/>
        </w:rPr>
      </w:pPr>
      <w:r w:rsidRPr="00D835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0090A" wp14:editId="235E40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24458070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739D" id="Прямокутник 1" o:spid="_x0000_s1026" style="position:absolute;margin-left:0;margin-top:0;width: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</w:p>
    <w:p w14:paraId="0BF30EE5" w14:textId="77777777" w:rsidR="00642868" w:rsidRPr="00D835EA" w:rsidRDefault="00642868" w:rsidP="00642868">
      <w:pPr>
        <w:pStyle w:val="Heading4"/>
        <w:rPr>
          <w:lang w:val="uk-UA"/>
        </w:rPr>
      </w:pPr>
      <w:r w:rsidRPr="00D835EA">
        <w:t xml:space="preserve">[1] </w:t>
      </w:r>
      <w:r w:rsidRPr="00D835EA">
        <w:rPr>
          <w:lang w:val="uk-UA"/>
        </w:rPr>
        <w:t xml:space="preserve">Völlenkle, H. (1967). </w:t>
      </w:r>
      <w:r w:rsidRPr="00D835EA">
        <w:rPr>
          <w:i/>
          <w:lang w:val="uk-UA"/>
        </w:rPr>
        <w:t>Z. Kristallogr</w:t>
      </w:r>
      <w:r w:rsidRPr="00D835EA">
        <w:rPr>
          <w:lang w:val="uk-UA"/>
        </w:rPr>
        <w:t xml:space="preserve">. </w:t>
      </w:r>
      <w:r w:rsidRPr="00D835EA">
        <w:rPr>
          <w:b/>
          <w:bCs w:val="0"/>
          <w:lang w:val="uk-UA"/>
        </w:rPr>
        <w:t>124</w:t>
      </w:r>
      <w:r w:rsidRPr="00D835EA">
        <w:rPr>
          <w:lang w:val="uk-UA"/>
        </w:rPr>
        <w:t>, 9-25.</w:t>
      </w:r>
      <w:r w:rsidRPr="00D835EA">
        <w:t xml:space="preserve"> </w:t>
      </w:r>
    </w:p>
    <w:p w14:paraId="6D479B33" w14:textId="45E73F8D" w:rsidR="00642868" w:rsidRPr="00D835EA" w:rsidRDefault="00642868" w:rsidP="00642868">
      <w:pPr>
        <w:pStyle w:val="Heading4"/>
        <w:rPr>
          <w:lang w:val="en-US"/>
        </w:rPr>
      </w:pPr>
      <w:r w:rsidRPr="00D835EA">
        <w:t xml:space="preserve">[2] </w:t>
      </w:r>
      <w:r w:rsidR="002806EE" w:rsidRPr="00D835EA">
        <w:rPr>
          <w:szCs w:val="18"/>
          <w:lang w:val="en-US"/>
        </w:rPr>
        <w:t>Rohrer, F.</w:t>
      </w:r>
      <w:r w:rsidR="00CE7937" w:rsidRPr="00D835EA">
        <w:rPr>
          <w:szCs w:val="18"/>
          <w:lang w:val="en-US"/>
        </w:rPr>
        <w:t xml:space="preserve"> </w:t>
      </w:r>
      <w:r w:rsidR="002806EE" w:rsidRPr="00D835EA">
        <w:rPr>
          <w:szCs w:val="18"/>
          <w:lang w:val="en-US"/>
        </w:rPr>
        <w:t>E., Lind, H., Eriksson, L., Larsson, A.</w:t>
      </w:r>
      <w:r w:rsidR="00CE7937" w:rsidRPr="00D835EA">
        <w:rPr>
          <w:szCs w:val="18"/>
          <w:lang w:val="en-US"/>
        </w:rPr>
        <w:t xml:space="preserve"> </w:t>
      </w:r>
      <w:r w:rsidR="002806EE" w:rsidRPr="00D835EA">
        <w:rPr>
          <w:szCs w:val="18"/>
          <w:lang w:val="en-US"/>
        </w:rPr>
        <w:t xml:space="preserve">K. </w:t>
      </w:r>
      <w:r w:rsidR="002806EE" w:rsidRPr="00D835EA">
        <w:t>&amp;</w:t>
      </w:r>
      <w:r w:rsidR="002806EE" w:rsidRPr="00D835EA">
        <w:rPr>
          <w:szCs w:val="18"/>
          <w:lang w:val="en-US"/>
        </w:rPr>
        <w:t xml:space="preserve"> Lidin, S.</w:t>
      </w:r>
      <w:r w:rsidR="00202A90" w:rsidRPr="00D835EA">
        <w:rPr>
          <w:szCs w:val="18"/>
          <w:lang w:val="en-US"/>
        </w:rPr>
        <w:t xml:space="preserve"> (2000).</w:t>
      </w:r>
      <w:r w:rsidR="002806EE" w:rsidRPr="00D835EA">
        <w:rPr>
          <w:szCs w:val="18"/>
          <w:lang w:val="en-US"/>
        </w:rPr>
        <w:t xml:space="preserve"> </w:t>
      </w:r>
      <w:r w:rsidR="002806EE" w:rsidRPr="00D835EA">
        <w:rPr>
          <w:i/>
          <w:szCs w:val="18"/>
          <w:lang w:val="en-US"/>
        </w:rPr>
        <w:t xml:space="preserve">Z. </w:t>
      </w:r>
      <w:proofErr w:type="spellStart"/>
      <w:r w:rsidR="002806EE" w:rsidRPr="00D835EA">
        <w:rPr>
          <w:i/>
          <w:szCs w:val="18"/>
          <w:lang w:val="en-US"/>
        </w:rPr>
        <w:t>Kristallogr</w:t>
      </w:r>
      <w:proofErr w:type="spellEnd"/>
      <w:r w:rsidR="002806EE" w:rsidRPr="00D835EA">
        <w:rPr>
          <w:szCs w:val="18"/>
          <w:lang w:val="en-US"/>
        </w:rPr>
        <w:t xml:space="preserve">. </w:t>
      </w:r>
      <w:r w:rsidR="002806EE" w:rsidRPr="00D835EA">
        <w:rPr>
          <w:b/>
          <w:bCs w:val="0"/>
          <w:szCs w:val="18"/>
          <w:lang w:val="en-US"/>
        </w:rPr>
        <w:t>215</w:t>
      </w:r>
      <w:r w:rsidR="00207977" w:rsidRPr="00D835EA">
        <w:rPr>
          <w:szCs w:val="18"/>
          <w:lang w:val="en-US"/>
        </w:rPr>
        <w:t>,</w:t>
      </w:r>
      <w:r w:rsidR="002806EE" w:rsidRPr="00D835EA">
        <w:rPr>
          <w:szCs w:val="18"/>
          <w:lang w:val="en-US"/>
        </w:rPr>
        <w:t xml:space="preserve"> 650-660.</w:t>
      </w:r>
    </w:p>
    <w:p w14:paraId="6F19F36D" w14:textId="56176EA4" w:rsidR="00642868" w:rsidRDefault="00642868" w:rsidP="00642868">
      <w:pPr>
        <w:pStyle w:val="Heading4"/>
      </w:pPr>
      <w:r w:rsidRPr="00D835EA">
        <w:t xml:space="preserve">[3] </w:t>
      </w:r>
      <w:r w:rsidRPr="00D835EA">
        <w:rPr>
          <w:lang w:val="en-US"/>
        </w:rPr>
        <w:t>Yamamoto,</w:t>
      </w:r>
      <w:r w:rsidRPr="00D835EA">
        <w:rPr>
          <w:lang w:val="uk-UA"/>
        </w:rPr>
        <w:t xml:space="preserve"> </w:t>
      </w:r>
      <w:r w:rsidRPr="00D835EA">
        <w:rPr>
          <w:lang w:val="en-US"/>
        </w:rPr>
        <w:t>A.</w:t>
      </w:r>
      <w:r w:rsidR="00207977" w:rsidRPr="00D835EA">
        <w:rPr>
          <w:lang w:val="en-US"/>
        </w:rPr>
        <w:t xml:space="preserve"> (1993)</w:t>
      </w:r>
      <w:r w:rsidRPr="00D835EA">
        <w:rPr>
          <w:lang w:val="en-US"/>
        </w:rPr>
        <w:t xml:space="preserve"> </w:t>
      </w:r>
      <w:r w:rsidRPr="00D835EA">
        <w:rPr>
          <w:i/>
          <w:lang w:val="en-US"/>
        </w:rPr>
        <w:t xml:space="preserve">Acta </w:t>
      </w:r>
      <w:proofErr w:type="spellStart"/>
      <w:r w:rsidRPr="00D835EA">
        <w:rPr>
          <w:i/>
          <w:lang w:val="en-US"/>
        </w:rPr>
        <w:t>Cryst</w:t>
      </w:r>
      <w:r w:rsidR="008F4E2F" w:rsidRPr="00D835EA">
        <w:rPr>
          <w:i/>
          <w:lang w:val="en-US"/>
        </w:rPr>
        <w:t>allogr</w:t>
      </w:r>
      <w:proofErr w:type="spellEnd"/>
      <w:r w:rsidR="008F4E2F" w:rsidRPr="00D835EA">
        <w:rPr>
          <w:iCs/>
          <w:lang w:val="en-US"/>
        </w:rPr>
        <w:t>.</w:t>
      </w:r>
      <w:r w:rsidRPr="00D835EA">
        <w:rPr>
          <w:lang w:val="en-US"/>
        </w:rPr>
        <w:t xml:space="preserve"> </w:t>
      </w:r>
      <w:r w:rsidRPr="00D835EA">
        <w:rPr>
          <w:b/>
          <w:bCs w:val="0"/>
          <w:lang w:val="en-US"/>
        </w:rPr>
        <w:t>49</w:t>
      </w:r>
      <w:r w:rsidR="00207977" w:rsidRPr="00D835EA">
        <w:rPr>
          <w:lang w:val="en-US"/>
        </w:rPr>
        <w:t>,</w:t>
      </w:r>
      <w:r w:rsidRPr="00D835EA">
        <w:rPr>
          <w:lang w:val="en-US"/>
        </w:rPr>
        <w:t xml:space="preserve"> 831-846.</w:t>
      </w:r>
    </w:p>
    <w:p w14:paraId="49D7A671" w14:textId="77777777" w:rsidR="00642868" w:rsidRPr="00642868" w:rsidRDefault="00642868" w:rsidP="006F3096">
      <w:pPr>
        <w:spacing w:after="0"/>
        <w:rPr>
          <w:lang w:val="uk-UA"/>
        </w:rPr>
      </w:pPr>
    </w:p>
    <w:sectPr w:rsidR="00642868" w:rsidRPr="00642868" w:rsidSect="006A709F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AB5A" w14:textId="77777777" w:rsidR="00757BEC" w:rsidRDefault="00757BEC">
      <w:pPr>
        <w:spacing w:after="0"/>
      </w:pPr>
      <w:r>
        <w:separator/>
      </w:r>
    </w:p>
  </w:endnote>
  <w:endnote w:type="continuationSeparator" w:id="0">
    <w:p w14:paraId="6CF77B16" w14:textId="77777777" w:rsidR="00757BEC" w:rsidRDefault="00757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0E8D" w14:textId="77777777" w:rsidR="00C977CC" w:rsidRDefault="008748BC">
    <w:pPr>
      <w:pStyle w:val="Footer"/>
    </w:pPr>
    <w:r>
      <w:t>Acta Cryst. (2025). A81, e1</w:t>
    </w:r>
  </w:p>
  <w:p w14:paraId="62C5E0E2" w14:textId="77777777" w:rsidR="00C977CC" w:rsidRDefault="00C977C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A9C9F" w14:textId="77777777" w:rsidR="00757BEC" w:rsidRDefault="00757BEC">
      <w:pPr>
        <w:spacing w:after="0"/>
      </w:pPr>
      <w:r>
        <w:separator/>
      </w:r>
    </w:p>
  </w:footnote>
  <w:footnote w:type="continuationSeparator" w:id="0">
    <w:p w14:paraId="7D2BD201" w14:textId="77777777" w:rsidR="00757BEC" w:rsidRDefault="00757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1D61" w14:textId="6140268B" w:rsidR="00C977CC" w:rsidRDefault="008748BC">
    <w:pPr>
      <w:tabs>
        <w:tab w:val="center" w:pos="4703"/>
        <w:tab w:val="right" w:pos="9406"/>
      </w:tabs>
    </w:pPr>
    <w:r>
      <w:rPr>
        <w:b/>
        <w:bCs/>
      </w:rPr>
      <w:t>M</w:t>
    </w:r>
    <w:r w:rsidR="00077851">
      <w:rPr>
        <w:b/>
        <w:bCs/>
      </w:rPr>
      <w:t>13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CC"/>
    <w:rsid w:val="000212A4"/>
    <w:rsid w:val="00044E26"/>
    <w:rsid w:val="00071BD7"/>
    <w:rsid w:val="00077851"/>
    <w:rsid w:val="00120B1B"/>
    <w:rsid w:val="00141FC5"/>
    <w:rsid w:val="00142655"/>
    <w:rsid w:val="001E1988"/>
    <w:rsid w:val="00202A90"/>
    <w:rsid w:val="00207977"/>
    <w:rsid w:val="00241DAC"/>
    <w:rsid w:val="002806EE"/>
    <w:rsid w:val="00282A10"/>
    <w:rsid w:val="002C1642"/>
    <w:rsid w:val="002E106C"/>
    <w:rsid w:val="003475E3"/>
    <w:rsid w:val="00424635"/>
    <w:rsid w:val="0043120F"/>
    <w:rsid w:val="00435A50"/>
    <w:rsid w:val="004444F6"/>
    <w:rsid w:val="004863D4"/>
    <w:rsid w:val="0051673B"/>
    <w:rsid w:val="00543F6B"/>
    <w:rsid w:val="005E07F0"/>
    <w:rsid w:val="00642868"/>
    <w:rsid w:val="0064671A"/>
    <w:rsid w:val="006A0B4C"/>
    <w:rsid w:val="006A709F"/>
    <w:rsid w:val="006E79DF"/>
    <w:rsid w:val="006F3096"/>
    <w:rsid w:val="0070798F"/>
    <w:rsid w:val="0071612D"/>
    <w:rsid w:val="00755E53"/>
    <w:rsid w:val="00757BEC"/>
    <w:rsid w:val="00782775"/>
    <w:rsid w:val="00783DEE"/>
    <w:rsid w:val="007B2008"/>
    <w:rsid w:val="00873C57"/>
    <w:rsid w:val="008748BC"/>
    <w:rsid w:val="008E64AD"/>
    <w:rsid w:val="008F4E2F"/>
    <w:rsid w:val="00921E88"/>
    <w:rsid w:val="009B58AB"/>
    <w:rsid w:val="009B5FDA"/>
    <w:rsid w:val="00A86154"/>
    <w:rsid w:val="00AC3D8C"/>
    <w:rsid w:val="00B43A58"/>
    <w:rsid w:val="00B62649"/>
    <w:rsid w:val="00B65C37"/>
    <w:rsid w:val="00BB4C0D"/>
    <w:rsid w:val="00BC650C"/>
    <w:rsid w:val="00BE2F74"/>
    <w:rsid w:val="00C4582A"/>
    <w:rsid w:val="00C977CC"/>
    <w:rsid w:val="00CE7937"/>
    <w:rsid w:val="00D6234F"/>
    <w:rsid w:val="00D835EA"/>
    <w:rsid w:val="00E43628"/>
    <w:rsid w:val="00E54E60"/>
    <w:rsid w:val="00E56F14"/>
    <w:rsid w:val="00E92DA1"/>
    <w:rsid w:val="00E973CC"/>
    <w:rsid w:val="00F37EA4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BA7E"/>
  <w15:docId w15:val="{7F6D209B-F8E8-4DB2-867D-D58135A0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rsid w:val="006A709F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6A709F"/>
    <w:pPr>
      <w:spacing w:after="140" w:line="276" w:lineRule="auto"/>
    </w:pPr>
  </w:style>
  <w:style w:type="paragraph" w:styleId="List">
    <w:name w:val="List"/>
    <w:basedOn w:val="BodyText"/>
    <w:rsid w:val="006A709F"/>
    <w:rPr>
      <w:rFonts w:cs="Lohit Devanagari"/>
    </w:rPr>
  </w:style>
  <w:style w:type="paragraph" w:styleId="Caption">
    <w:name w:val="caption"/>
    <w:basedOn w:val="Normal"/>
    <w:qFormat/>
    <w:rsid w:val="006A709F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6A709F"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  <w:rsid w:val="006A709F"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dis">
    <w:name w:val="rdis"/>
    <w:rsid w:val="00071BD7"/>
    <w:rPr>
      <w:noProof w:val="0"/>
      <w:sz w:val="28"/>
      <w:lang w:val="uk-UA"/>
    </w:rPr>
  </w:style>
  <w:style w:type="paragraph" w:styleId="NormalWeb">
    <w:name w:val="Normal (Web)"/>
    <w:basedOn w:val="Normal"/>
    <w:uiPriority w:val="99"/>
    <w:semiHidden/>
    <w:unhideWhenUsed/>
    <w:rsid w:val="007B2008"/>
    <w:rPr>
      <w:sz w:val="24"/>
      <w:szCs w:val="24"/>
    </w:rPr>
  </w:style>
  <w:style w:type="character" w:styleId="Hyperlink">
    <w:name w:val="Hyperlink"/>
    <w:rsid w:val="00C458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hdan.korotoshyn@lnu.edu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3127F-B395-46E0-A486-66DA6E07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Materials Structure</vt:lpstr>
      <vt:lpstr>Materials Structure</vt:lpstr>
      <vt:lpstr>Materials Structure</vt:lpstr>
    </vt:vector>
  </TitlesOfParts>
  <Company>MFF UK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Roman Gladyshevskii</cp:lastModifiedBy>
  <cp:revision>18</cp:revision>
  <dcterms:created xsi:type="dcterms:W3CDTF">2025-05-06T20:06:00Z</dcterms:created>
  <dcterms:modified xsi:type="dcterms:W3CDTF">2025-05-09T09:10:00Z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