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17" w:rsidRDefault="00B84036">
      <w:pPr>
        <w:pStyle w:val="Titre1"/>
      </w:pPr>
      <w:r w:rsidRPr="00B84036">
        <w:t>Metal hydridoborates, novel materials for energy conversion and storage</w:t>
      </w:r>
    </w:p>
    <w:p w:rsidR="00B51E17" w:rsidRDefault="00B84036">
      <w:pPr>
        <w:pStyle w:val="Titre2"/>
      </w:pPr>
      <w:r w:rsidRPr="00B84036">
        <w:t>R. Černý</w:t>
      </w:r>
    </w:p>
    <w:p w:rsidR="00B51E17" w:rsidRDefault="00B84036">
      <w:pPr>
        <w:pStyle w:val="Titre3"/>
      </w:pPr>
      <w:r w:rsidRPr="00B84036">
        <w:t>Laboratory of Crystallography, DQMP, University of Geneva, Switzerland</w:t>
      </w:r>
    </w:p>
    <w:p w:rsidR="00B51E17" w:rsidRDefault="00B84036">
      <w:pPr>
        <w:pStyle w:val="Titre3"/>
        <w:rPr>
          <w:sz w:val="18"/>
          <w:szCs w:val="18"/>
        </w:rPr>
      </w:pPr>
      <w:r w:rsidRPr="00B84036">
        <w:rPr>
          <w:lang w:eastAsia="de-DE"/>
        </w:rPr>
        <w:t>Radovan.Cerny@unige.ch</w:t>
      </w:r>
      <w:r w:rsidR="0031419D">
        <w:rPr>
          <w:lang w:eastAsia="de-DE"/>
        </w:rPr>
        <w:br/>
      </w:r>
    </w:p>
    <w:p w:rsidR="00B51E17" w:rsidRDefault="00B84036">
      <w:r w:rsidRPr="00B84036">
        <w:t>Metal hydridoborates are emerging class of materials for energy conversion and storage. The hydridoborates that form the compounds used in various applications are mostly based on borohydride BH</w:t>
      </w:r>
      <w:r w:rsidRPr="00B84036">
        <w:rPr>
          <w:vertAlign w:val="subscript"/>
        </w:rPr>
        <w:t>4</w:t>
      </w:r>
      <w:r w:rsidRPr="00B84036">
        <w:rPr>
          <w:vertAlign w:val="superscript"/>
        </w:rPr>
        <w:t>−</w:t>
      </w:r>
      <w:r w:rsidRPr="00B84036">
        <w:t xml:space="preserve">, </w:t>
      </w:r>
      <w:r w:rsidRPr="00B84036">
        <w:rPr>
          <w:i/>
        </w:rPr>
        <w:t>closo</w:t>
      </w:r>
      <w:r w:rsidRPr="00B84036">
        <w:t>-dodecaborate B</w:t>
      </w:r>
      <w:r w:rsidRPr="00B84036">
        <w:rPr>
          <w:vertAlign w:val="subscript"/>
        </w:rPr>
        <w:t>12</w:t>
      </w:r>
      <w:r w:rsidRPr="00B84036">
        <w:t>H</w:t>
      </w:r>
      <w:r w:rsidRPr="00B84036">
        <w:rPr>
          <w:vertAlign w:val="subscript"/>
        </w:rPr>
        <w:t>12</w:t>
      </w:r>
      <w:r w:rsidRPr="00B84036">
        <w:rPr>
          <w:vertAlign w:val="superscript"/>
        </w:rPr>
        <w:t>2−</w:t>
      </w:r>
      <w:r w:rsidRPr="00B84036">
        <w:t xml:space="preserve">, </w:t>
      </w:r>
      <w:r w:rsidRPr="00B84036">
        <w:rPr>
          <w:i/>
        </w:rPr>
        <w:t>closo</w:t>
      </w:r>
      <w:r w:rsidRPr="00B84036">
        <w:t>-decaborate B</w:t>
      </w:r>
      <w:r w:rsidRPr="00B84036">
        <w:rPr>
          <w:vertAlign w:val="subscript"/>
        </w:rPr>
        <w:t>10</w:t>
      </w:r>
      <w:r w:rsidRPr="00B84036">
        <w:t>H</w:t>
      </w:r>
      <w:r w:rsidRPr="00B84036">
        <w:rPr>
          <w:vertAlign w:val="subscript"/>
        </w:rPr>
        <w:t>10</w:t>
      </w:r>
      <w:r w:rsidRPr="00B84036">
        <w:rPr>
          <w:vertAlign w:val="superscript"/>
        </w:rPr>
        <w:t>2−</w:t>
      </w:r>
      <w:r w:rsidRPr="00B84036">
        <w:t xml:space="preserve"> anions, and their carbon-substituted derivatives (Figure 1). The non-crystallographic symmetry of both </w:t>
      </w:r>
      <w:r w:rsidRPr="00B84036">
        <w:rPr>
          <w:i/>
        </w:rPr>
        <w:t>closo</w:t>
      </w:r>
      <w:r w:rsidRPr="00B84036">
        <w:t xml:space="preserve">-clusters is at the origin of their orientation disorder in the </w:t>
      </w:r>
      <w:r w:rsidRPr="00B84036">
        <w:rPr>
          <w:i/>
        </w:rPr>
        <w:t>ht</w:t>
      </w:r>
      <w:r w:rsidRPr="00B84036">
        <w:t xml:space="preserve"> phases of many hydridoborates and their classification as plastic </w:t>
      </w:r>
      <w:r w:rsidRPr="00B84036">
        <w:rPr>
          <w:lang w:val="fr-CH"/>
        </w:rPr>
        <w:t>(rotatory) crystals</w:t>
      </w:r>
      <w:r w:rsidRPr="00B84036">
        <w:rPr>
          <w:bCs/>
        </w:rPr>
        <w:t>.</w:t>
      </w:r>
    </w:p>
    <w:p w:rsidR="00B84036" w:rsidRPr="00931568" w:rsidRDefault="00876CFC" w:rsidP="00B84036">
      <w:pPr>
        <w:suppressAutoHyphens w:val="0"/>
        <w:spacing w:after="0"/>
        <w:ind w:left="2438"/>
        <w:jc w:val="left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E37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af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Fja5p9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Pr="00B84036">
        <w:rPr>
          <w:rFonts w:ascii="Calibri" w:eastAsia="Calibri" w:hAnsi="Calibri"/>
          <w:noProof/>
          <w:sz w:val="22"/>
          <w:szCs w:val="22"/>
          <w:lang w:val="fr-CH" w:eastAsia="fr-CH"/>
        </w:rPr>
        <w:drawing>
          <wp:inline distT="0" distB="0" distL="0" distR="0">
            <wp:extent cx="819785" cy="1017905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036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B84036">
        <w:rPr>
          <w:rFonts w:ascii="Calibri" w:eastAsia="Calibri" w:hAnsi="Calibri"/>
          <w:noProof/>
          <w:sz w:val="22"/>
          <w:szCs w:val="22"/>
          <w:lang w:val="fr-CH" w:eastAsia="fr-CH"/>
        </w:rPr>
        <w:drawing>
          <wp:inline distT="0" distB="0" distL="0" distR="0">
            <wp:extent cx="802005" cy="1000760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036">
        <w:rPr>
          <w:rFonts w:ascii="Calibri" w:eastAsia="Calibri" w:hAnsi="Calibri"/>
          <w:sz w:val="22"/>
          <w:szCs w:val="22"/>
          <w:lang w:val="en-US" w:eastAsia="en-US"/>
        </w:rPr>
        <w:tab/>
      </w:r>
      <w:r w:rsidR="00B84036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B84036">
        <w:rPr>
          <w:rFonts w:ascii="Calibri" w:eastAsia="Calibri" w:hAnsi="Calibri"/>
          <w:noProof/>
          <w:sz w:val="22"/>
          <w:szCs w:val="22"/>
          <w:lang w:val="fr-CH" w:eastAsia="fr-CH"/>
        </w:rPr>
        <w:drawing>
          <wp:inline distT="0" distB="0" distL="0" distR="0">
            <wp:extent cx="802005" cy="10007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36" w:rsidRPr="00931568" w:rsidRDefault="00B84036" w:rsidP="00B84036">
      <w:pPr>
        <w:suppressAutoHyphens w:val="0"/>
        <w:spacing w:after="0"/>
        <w:ind w:left="2160" w:firstLine="720"/>
        <w:jc w:val="left"/>
        <w:rPr>
          <w:rFonts w:ascii="Calibri" w:eastAsia="Calibri" w:hAnsi="Calibri"/>
          <w:sz w:val="22"/>
          <w:szCs w:val="22"/>
          <w:vertAlign w:val="superscript"/>
          <w:lang w:val="en-US" w:eastAsia="en-US"/>
        </w:rPr>
      </w:pPr>
      <w:r w:rsidRPr="00931568">
        <w:rPr>
          <w:rFonts w:ascii="Calibri" w:eastAsia="Calibri" w:hAnsi="Calibri"/>
          <w:sz w:val="22"/>
          <w:szCs w:val="22"/>
          <w:lang w:val="en-US" w:eastAsia="en-US"/>
        </w:rPr>
        <w:t>BH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4</w:t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>-</w:t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ab/>
      </w:r>
      <w:r w:rsidRPr="00931568"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ab/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 xml:space="preserve">          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B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12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H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12</w:t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>2-</w:t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ab/>
      </w:r>
      <w:r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     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B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10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H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10</w:t>
      </w:r>
      <w:r w:rsidRPr="00931568">
        <w:rPr>
          <w:rFonts w:ascii="Calibri" w:eastAsia="Calibri" w:hAnsi="Calibri"/>
          <w:sz w:val="22"/>
          <w:szCs w:val="22"/>
          <w:vertAlign w:val="superscript"/>
          <w:lang w:val="en-US" w:eastAsia="en-US"/>
        </w:rPr>
        <w:t>2-</w:t>
      </w:r>
    </w:p>
    <w:p w:rsidR="00B84036" w:rsidRPr="00262E95" w:rsidRDefault="00B84036" w:rsidP="00B84036">
      <w:pPr>
        <w:suppressAutoHyphens w:val="0"/>
        <w:spacing w:after="0"/>
        <w:ind w:left="2160" w:firstLine="720"/>
        <w:jc w:val="left"/>
        <w:rPr>
          <w:rFonts w:ascii="Calibri" w:eastAsia="Calibri" w:hAnsi="Calibri"/>
          <w:sz w:val="22"/>
          <w:szCs w:val="22"/>
          <w:lang w:val="en-US" w:eastAsia="en-US"/>
        </w:rPr>
      </w:pPr>
      <w:r w:rsidRPr="00931568">
        <w:rPr>
          <w:rFonts w:ascii="Calibri" w:eastAsia="Calibri" w:hAnsi="Calibri"/>
          <w:sz w:val="22"/>
          <w:szCs w:val="22"/>
          <w:lang w:val="en-US" w:eastAsia="en-US"/>
        </w:rPr>
        <w:t>T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d</w:t>
      </w:r>
      <w:r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      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I</w:t>
      </w:r>
      <w:r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h</w:t>
      </w:r>
      <w:r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ab/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ab/>
      </w:r>
      <w:r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     </w:t>
      </w:r>
      <w:r w:rsidRPr="00931568">
        <w:rPr>
          <w:rFonts w:ascii="Calibri" w:eastAsia="Calibri" w:hAnsi="Calibri"/>
          <w:sz w:val="22"/>
          <w:szCs w:val="22"/>
          <w:lang w:val="en-US" w:eastAsia="en-US"/>
        </w:rPr>
        <w:t>D</w:t>
      </w:r>
      <w:r w:rsidRPr="00931568">
        <w:rPr>
          <w:rFonts w:ascii="Calibri" w:eastAsia="Calibri" w:hAnsi="Calibri"/>
          <w:sz w:val="22"/>
          <w:szCs w:val="22"/>
          <w:vertAlign w:val="subscript"/>
          <w:lang w:val="en-US" w:eastAsia="en-US"/>
        </w:rPr>
        <w:t>4d</w:t>
      </w:r>
    </w:p>
    <w:p w:rsidR="00B51E17" w:rsidRDefault="00B51E17">
      <w:pPr>
        <w:jc w:val="center"/>
      </w:pPr>
    </w:p>
    <w:p w:rsidR="00B51E17" w:rsidRDefault="0031419D" w:rsidP="00876CFC">
      <w:pPr>
        <w:pStyle w:val="Titre6"/>
      </w:pPr>
      <w:r>
        <w:rPr>
          <w:b/>
        </w:rPr>
        <w:t>Figure 1</w:t>
      </w:r>
      <w:r>
        <w:t xml:space="preserve">. </w:t>
      </w:r>
      <w:r w:rsidR="00B84036" w:rsidRPr="00B84036">
        <w:t>The three frequently used hydridoborate anions: borohydride (</w:t>
      </w:r>
      <w:r w:rsidR="00B84036" w:rsidRPr="00B84036">
        <w:rPr>
          <w:b/>
        </w:rPr>
        <w:t>left</w:t>
      </w:r>
      <w:r w:rsidR="00B84036" w:rsidRPr="00B84036">
        <w:t xml:space="preserve">), </w:t>
      </w:r>
      <w:r w:rsidR="00B84036" w:rsidRPr="00B84036">
        <w:rPr>
          <w:i/>
        </w:rPr>
        <w:t>closo</w:t>
      </w:r>
      <w:r w:rsidR="00B84036" w:rsidRPr="00B84036">
        <w:t>-dodecaborate (</w:t>
      </w:r>
      <w:r w:rsidR="00B84036" w:rsidRPr="00B84036">
        <w:rPr>
          <w:b/>
        </w:rPr>
        <w:t>middle</w:t>
      </w:r>
      <w:r w:rsidR="00B84036" w:rsidRPr="00B84036">
        <w:t xml:space="preserve">) and </w:t>
      </w:r>
      <w:r w:rsidR="00B84036" w:rsidRPr="00B84036">
        <w:rPr>
          <w:i/>
        </w:rPr>
        <w:t>closo</w:t>
      </w:r>
      <w:r w:rsidR="00B84036" w:rsidRPr="00B84036">
        <w:t>-decaborate (</w:t>
      </w:r>
      <w:r w:rsidR="00B84036" w:rsidRPr="00B84036">
        <w:rPr>
          <w:b/>
        </w:rPr>
        <w:t>right</w:t>
      </w:r>
      <w:r w:rsidR="00B84036" w:rsidRPr="00B84036">
        <w:t>) and their point group symmetries.</w:t>
      </w:r>
    </w:p>
    <w:p w:rsidR="00876CFC" w:rsidRPr="00876CFC" w:rsidRDefault="00876CFC" w:rsidP="00876CFC"/>
    <w:p w:rsidR="00B84036" w:rsidRPr="00B84036" w:rsidRDefault="00B84036" w:rsidP="00B84036">
      <w:pPr>
        <w:rPr>
          <w:lang w:val="en-AU" w:eastAsia="cs-CZ"/>
        </w:rPr>
      </w:pPr>
      <w:r w:rsidRPr="00B84036">
        <w:rPr>
          <w:lang w:eastAsia="cs-CZ"/>
        </w:rPr>
        <w:t xml:space="preserve">Hydrogen storage in solids was the initial interest in these fascinating compounds. Later on, the Lithium and </w:t>
      </w:r>
      <w:r w:rsidRPr="00B84036">
        <w:rPr>
          <w:lang w:val="en-AU" w:eastAsia="cs-CZ"/>
        </w:rPr>
        <w:t>Sodium hydridoborates have proven to be promising solid-state electrolytes [1]. Fast cationic motion generally occurs after a polymorphic transition towards higher-symmetry phases. However, such phase transition occurs usually above room temperature (</w:t>
      </w:r>
      <w:r w:rsidRPr="00B84036">
        <w:rPr>
          <w:i/>
          <w:lang w:val="en-AU" w:eastAsia="cs-CZ"/>
        </w:rPr>
        <w:t>rt</w:t>
      </w:r>
      <w:r w:rsidRPr="00B84036">
        <w:rPr>
          <w:lang w:val="en-AU" w:eastAsia="cs-CZ"/>
        </w:rPr>
        <w:t xml:space="preserve">), thus hampering practical applications. Lowering the temperature of phase transition has been made possible by chemical tuning, </w:t>
      </w:r>
      <w:r w:rsidRPr="00B84036">
        <w:rPr>
          <w:i/>
          <w:lang w:val="en-AU" w:eastAsia="cs-CZ"/>
        </w:rPr>
        <w:t>i.e.</w:t>
      </w:r>
      <w:r w:rsidRPr="00B84036">
        <w:rPr>
          <w:lang w:val="en-AU" w:eastAsia="cs-CZ"/>
        </w:rPr>
        <w:t xml:space="preserve"> </w:t>
      </w:r>
      <w:r w:rsidRPr="00B84036">
        <w:rPr>
          <w:lang w:eastAsia="cs-CZ"/>
        </w:rPr>
        <w:t>BH</w:t>
      </w:r>
      <w:r w:rsidRPr="00B84036">
        <w:rPr>
          <w:vertAlign w:val="subscript"/>
          <w:lang w:eastAsia="cs-CZ"/>
        </w:rPr>
        <w:t>4</w:t>
      </w:r>
      <w:r w:rsidRPr="00B84036">
        <w:rPr>
          <w:vertAlign w:val="superscript"/>
          <w:lang w:eastAsia="cs-CZ"/>
        </w:rPr>
        <w:t>−</w:t>
      </w:r>
      <w:r w:rsidRPr="00B84036">
        <w:rPr>
          <w:lang w:val="en-AU" w:eastAsia="cs-CZ"/>
        </w:rPr>
        <w:t xml:space="preserve"> substitution by halides and mixing anionic hydridoborate clusters or by physical treatment implying formation of composites or nano-confined materials [2]. Recently, we have shown an effect of mechanical milling in stabilizing at </w:t>
      </w:r>
      <w:r w:rsidRPr="00B84036">
        <w:rPr>
          <w:i/>
          <w:lang w:val="en-AU" w:eastAsia="cs-CZ"/>
        </w:rPr>
        <w:t>rt</w:t>
      </w:r>
      <w:r w:rsidRPr="00B84036">
        <w:rPr>
          <w:lang w:val="en-AU" w:eastAsia="cs-CZ"/>
        </w:rPr>
        <w:t xml:space="preserve"> the superionic conductive phase of a single-anion material, NaCB</w:t>
      </w:r>
      <w:r w:rsidRPr="00B84036">
        <w:rPr>
          <w:vertAlign w:val="subscript"/>
          <w:lang w:val="en-AU" w:eastAsia="cs-CZ"/>
        </w:rPr>
        <w:t>11</w:t>
      </w:r>
      <w:r w:rsidRPr="00B84036">
        <w:rPr>
          <w:lang w:val="en-AU" w:eastAsia="cs-CZ"/>
        </w:rPr>
        <w:t>H</w:t>
      </w:r>
      <w:r w:rsidRPr="00B84036">
        <w:rPr>
          <w:vertAlign w:val="subscript"/>
          <w:lang w:val="en-AU" w:eastAsia="cs-CZ"/>
        </w:rPr>
        <w:t>12</w:t>
      </w:r>
      <w:r w:rsidRPr="00B84036">
        <w:rPr>
          <w:lang w:val="en-AU" w:eastAsia="cs-CZ"/>
        </w:rPr>
        <w:t xml:space="preserve"> [3]. The high-energy ball milling quenches the metastable, body-centred cubic (</w:t>
      </w:r>
      <w:r w:rsidRPr="00B84036">
        <w:rPr>
          <w:i/>
          <w:lang w:val="en-AU" w:eastAsia="cs-CZ"/>
        </w:rPr>
        <w:t>bcc</w:t>
      </w:r>
      <w:r w:rsidRPr="00B84036">
        <w:rPr>
          <w:lang w:val="en-AU" w:eastAsia="cs-CZ"/>
        </w:rPr>
        <w:t>) polymorph with a conductivity of 4 mS cm</w:t>
      </w:r>
      <w:r w:rsidRPr="00B84036">
        <w:rPr>
          <w:vertAlign w:val="superscript"/>
          <w:lang w:val="en-AU" w:eastAsia="cs-CZ"/>
        </w:rPr>
        <w:t>-1</w:t>
      </w:r>
      <w:r w:rsidRPr="00B84036">
        <w:rPr>
          <w:lang w:val="en-AU" w:eastAsia="cs-CZ"/>
        </w:rPr>
        <w:t xml:space="preserve"> at 20°C, without altering the electrochemical stability. </w:t>
      </w:r>
      <w:r w:rsidRPr="00B84036">
        <w:rPr>
          <w:lang w:eastAsia="cs-CZ"/>
        </w:rPr>
        <w:t xml:space="preserve">Other applications have been studied and proposed for the hydridoborates: </w:t>
      </w:r>
    </w:p>
    <w:p w:rsidR="00B84036" w:rsidRPr="00B84036" w:rsidRDefault="00B84036" w:rsidP="00B84036">
      <w:pPr>
        <w:rPr>
          <w:lang w:eastAsia="cs-CZ"/>
        </w:rPr>
      </w:pPr>
      <w:r w:rsidRPr="00B84036">
        <w:rPr>
          <w:lang w:eastAsia="cs-CZ"/>
        </w:rPr>
        <w:t>Novel Gd-based mixed-metal borohydrides A</w:t>
      </w:r>
      <w:r w:rsidRPr="00B84036">
        <w:rPr>
          <w:vertAlign w:val="subscript"/>
          <w:lang w:eastAsia="cs-CZ"/>
        </w:rPr>
        <w:t>n</w:t>
      </w:r>
      <w:r w:rsidRPr="00B84036">
        <w:rPr>
          <w:lang w:eastAsia="cs-CZ"/>
        </w:rPr>
        <w:t>Gd(BH</w:t>
      </w:r>
      <w:r w:rsidRPr="00B84036">
        <w:rPr>
          <w:vertAlign w:val="subscript"/>
          <w:lang w:eastAsia="cs-CZ"/>
        </w:rPr>
        <w:t>4</w:t>
      </w:r>
      <w:r w:rsidRPr="00B84036">
        <w:rPr>
          <w:lang w:eastAsia="cs-CZ"/>
        </w:rPr>
        <w:t>)</w:t>
      </w:r>
      <w:r w:rsidRPr="00B84036">
        <w:rPr>
          <w:vertAlign w:val="subscript"/>
          <w:lang w:eastAsia="cs-CZ"/>
        </w:rPr>
        <w:t>n+3</w:t>
      </w:r>
      <w:r w:rsidRPr="00B84036">
        <w:rPr>
          <w:lang w:eastAsia="cs-CZ"/>
        </w:rPr>
        <w:t xml:space="preserve"> (A = K, Cs) have been described in view of their magnetic cooling properties at cryogenic temperatures [4]. The isolated Gd-centres in five-fold coordination in K</w:t>
      </w:r>
      <w:r w:rsidRPr="00B84036">
        <w:rPr>
          <w:vertAlign w:val="subscript"/>
          <w:lang w:eastAsia="cs-CZ"/>
        </w:rPr>
        <w:t>2</w:t>
      </w:r>
      <w:r w:rsidRPr="00B84036">
        <w:rPr>
          <w:lang w:eastAsia="cs-CZ"/>
        </w:rPr>
        <w:t>Gd(BH</w:t>
      </w:r>
      <w:r w:rsidRPr="00B84036">
        <w:rPr>
          <w:vertAlign w:val="subscript"/>
          <w:lang w:eastAsia="cs-CZ"/>
        </w:rPr>
        <w:t>4</w:t>
      </w:r>
      <w:r w:rsidRPr="00B84036">
        <w:rPr>
          <w:lang w:eastAsia="cs-CZ"/>
        </w:rPr>
        <w:t>)</w:t>
      </w:r>
      <w:r w:rsidRPr="00B84036">
        <w:rPr>
          <w:vertAlign w:val="subscript"/>
          <w:lang w:eastAsia="cs-CZ"/>
        </w:rPr>
        <w:t>5</w:t>
      </w:r>
      <w:r w:rsidRPr="00B84036">
        <w:rPr>
          <w:lang w:eastAsia="cs-CZ"/>
        </w:rPr>
        <w:t>, the first representative of a new structure type, lead to exceptionally high mass magnetic entropy change of 54.6 J kg</w:t>
      </w:r>
      <w:r w:rsidRPr="00B84036">
        <w:rPr>
          <w:vertAlign w:val="superscript"/>
          <w:lang w:eastAsia="cs-CZ"/>
        </w:rPr>
        <w:t>−</w:t>
      </w:r>
      <w:r w:rsidRPr="00B84036">
        <w:rPr>
          <w:lang w:eastAsia="cs-CZ"/>
        </w:rPr>
        <w:t>1 K</w:t>
      </w:r>
      <w:r w:rsidRPr="00B84036">
        <w:rPr>
          <w:vertAlign w:val="superscript"/>
          <w:lang w:eastAsia="cs-CZ"/>
        </w:rPr>
        <w:t>−</w:t>
      </w:r>
      <w:r w:rsidRPr="00B84036">
        <w:rPr>
          <w:lang w:eastAsia="cs-CZ"/>
        </w:rPr>
        <w:t>1 at the maximum field change of 9 T.</w:t>
      </w:r>
    </w:p>
    <w:p w:rsidR="00B84036" w:rsidRPr="00B84036" w:rsidRDefault="00B84036" w:rsidP="00B84036">
      <w:pPr>
        <w:rPr>
          <w:lang w:eastAsia="cs-CZ"/>
        </w:rPr>
      </w:pPr>
      <w:r w:rsidRPr="00B84036">
        <w:rPr>
          <w:lang w:eastAsia="cs-CZ"/>
        </w:rPr>
        <w:t>Series of borohydride perovskites AB(BH</w:t>
      </w:r>
      <w:r w:rsidRPr="00B84036">
        <w:rPr>
          <w:vertAlign w:val="subscript"/>
          <w:lang w:eastAsia="cs-CZ"/>
        </w:rPr>
        <w:t>4</w:t>
      </w:r>
      <w:r w:rsidRPr="00B84036">
        <w:rPr>
          <w:lang w:eastAsia="cs-CZ"/>
        </w:rPr>
        <w:t>)</w:t>
      </w:r>
      <w:r w:rsidRPr="00B84036">
        <w:rPr>
          <w:vertAlign w:val="subscript"/>
          <w:lang w:eastAsia="cs-CZ"/>
        </w:rPr>
        <w:t>3</w:t>
      </w:r>
      <w:r w:rsidRPr="00B84036">
        <w:rPr>
          <w:lang w:eastAsia="cs-CZ"/>
        </w:rPr>
        <w:t xml:space="preserve"> based on alkali metals and ammonium and on alkali and rare earths and lead have been studied with respect to their photophysical properties [5]. The lanthanide excited states, for example, those of Eu</w:t>
      </w:r>
      <w:r w:rsidRPr="00B84036">
        <w:rPr>
          <w:vertAlign w:val="superscript"/>
          <w:lang w:eastAsia="cs-CZ"/>
        </w:rPr>
        <w:t>2+</w:t>
      </w:r>
      <w:r w:rsidRPr="00B84036">
        <w:rPr>
          <w:lang w:eastAsia="cs-CZ"/>
        </w:rPr>
        <w:t xml:space="preserve"> or Yb</w:t>
      </w:r>
      <w:r w:rsidRPr="00B84036">
        <w:rPr>
          <w:vertAlign w:val="superscript"/>
          <w:lang w:eastAsia="cs-CZ"/>
        </w:rPr>
        <w:t>2+</w:t>
      </w:r>
      <w:r w:rsidRPr="00B84036">
        <w:rPr>
          <w:lang w:eastAsia="cs-CZ"/>
        </w:rPr>
        <w:t>, are not quenched by B-H vibrations in a homoleptic BH</w:t>
      </w:r>
      <w:r w:rsidRPr="00B84036">
        <w:rPr>
          <w:vertAlign w:val="subscript"/>
          <w:lang w:eastAsia="cs-CZ"/>
        </w:rPr>
        <w:t>4</w:t>
      </w:r>
      <w:r w:rsidRPr="00B84036">
        <w:rPr>
          <w:vertAlign w:val="superscript"/>
          <w:lang w:eastAsia="cs-CZ"/>
        </w:rPr>
        <w:t>−</w:t>
      </w:r>
      <w:r w:rsidRPr="00B84036">
        <w:rPr>
          <w:lang w:eastAsia="cs-CZ"/>
        </w:rPr>
        <w:t xml:space="preserve"> environment, making the borohydride perovskites a new host family of phosphors.</w:t>
      </w:r>
    </w:p>
    <w:p w:rsidR="00B51E17" w:rsidRDefault="00B84036">
      <w:pPr>
        <w:rPr>
          <w:lang w:eastAsia="cs-CZ"/>
        </w:rPr>
      </w:pPr>
      <w:r w:rsidRPr="00B84036">
        <w:rPr>
          <w:lang w:eastAsia="cs-CZ"/>
        </w:rPr>
        <w:t>A colossal barocaloric effect has been discovered in the isomers of carborane C</w:t>
      </w:r>
      <w:r w:rsidRPr="00B84036">
        <w:rPr>
          <w:vertAlign w:val="subscript"/>
          <w:lang w:eastAsia="cs-CZ"/>
        </w:rPr>
        <w:t>2</w:t>
      </w:r>
      <w:r w:rsidRPr="00B84036">
        <w:rPr>
          <w:lang w:eastAsia="cs-CZ"/>
        </w:rPr>
        <w:t>B</w:t>
      </w:r>
      <w:r w:rsidRPr="00B84036">
        <w:rPr>
          <w:vertAlign w:val="subscript"/>
          <w:lang w:eastAsia="cs-CZ"/>
        </w:rPr>
        <w:t>10</w:t>
      </w:r>
      <w:r w:rsidRPr="00B84036">
        <w:rPr>
          <w:lang w:eastAsia="cs-CZ"/>
        </w:rPr>
        <w:t>H</w:t>
      </w:r>
      <w:r w:rsidRPr="00B84036">
        <w:rPr>
          <w:vertAlign w:val="subscript"/>
          <w:lang w:eastAsia="cs-CZ"/>
        </w:rPr>
        <w:t>12</w:t>
      </w:r>
      <w:r w:rsidRPr="00B84036">
        <w:rPr>
          <w:lang w:eastAsia="cs-CZ"/>
        </w:rPr>
        <w:t xml:space="preserve"> [6]. The best performances are obtained in </w:t>
      </w:r>
      <w:r w:rsidRPr="00B84036">
        <w:rPr>
          <w:i/>
          <w:lang w:eastAsia="cs-CZ"/>
        </w:rPr>
        <w:t>para</w:t>
      </w:r>
      <w:r w:rsidRPr="00B84036">
        <w:rPr>
          <w:lang w:eastAsia="cs-CZ"/>
        </w:rPr>
        <w:t>- carborane with maximum entropy changes of about 106.2 J kg</w:t>
      </w:r>
      <w:r w:rsidRPr="00B84036">
        <w:rPr>
          <w:vertAlign w:val="superscript"/>
          <w:lang w:eastAsia="cs-CZ"/>
        </w:rPr>
        <w:t>−1</w:t>
      </w:r>
      <w:r w:rsidRPr="00B84036">
        <w:rPr>
          <w:lang w:eastAsia="cs-CZ"/>
        </w:rPr>
        <w:t xml:space="preserve"> K</w:t>
      </w:r>
      <w:r w:rsidRPr="00B84036">
        <w:rPr>
          <w:vertAlign w:val="superscript"/>
          <w:lang w:eastAsia="cs-CZ"/>
        </w:rPr>
        <w:t>−1</w:t>
      </w:r>
      <w:r w:rsidRPr="00B84036">
        <w:rPr>
          <w:lang w:eastAsia="cs-CZ"/>
        </w:rPr>
        <w:t xml:space="preserve"> achieved under pressure changes below 30 MPa.</w:t>
      </w:r>
    </w:p>
    <w:p w:rsidR="00876CFC" w:rsidRDefault="00876CFC">
      <w:pPr>
        <w:rPr>
          <w:lang w:eastAsia="cs-CZ"/>
        </w:rPr>
      </w:pPr>
      <w:bookmarkStart w:id="0" w:name="_GoBack"/>
      <w:bookmarkEnd w:id="0"/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>[1]</w:t>
      </w:r>
      <w:r w:rsidRPr="00B84036">
        <w:rPr>
          <w:bCs/>
          <w:lang w:val="fr-FR" w:eastAsia="cs-CZ"/>
        </w:rPr>
        <w:t xml:space="preserve"> Černý R., Brighi M. &amp; Murgia F. (2020). </w:t>
      </w:r>
      <w:r w:rsidRPr="00B84036">
        <w:rPr>
          <w:bCs/>
          <w:i/>
          <w:lang w:val="fr-FR" w:eastAsia="cs-CZ"/>
        </w:rPr>
        <w:t>Chemistry</w:t>
      </w:r>
      <w:r w:rsidRPr="00B84036">
        <w:rPr>
          <w:bCs/>
          <w:lang w:val="fr-FR" w:eastAsia="cs-CZ"/>
        </w:rPr>
        <w:t xml:space="preserve"> (Easton), </w:t>
      </w:r>
      <w:r w:rsidRPr="00B84036">
        <w:rPr>
          <w:b/>
          <w:bCs/>
          <w:lang w:val="fr-FR" w:eastAsia="cs-CZ"/>
        </w:rPr>
        <w:t>2</w:t>
      </w:r>
      <w:r w:rsidRPr="00B84036">
        <w:rPr>
          <w:bCs/>
          <w:lang w:val="fr-FR" w:eastAsia="cs-CZ"/>
        </w:rPr>
        <w:t>, 805</w:t>
      </w:r>
      <w:r w:rsidRPr="00B84036">
        <w:rPr>
          <w:bCs/>
          <w:lang w:eastAsia="cs-CZ"/>
        </w:rPr>
        <w:t>.</w:t>
      </w:r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>[2]</w:t>
      </w:r>
      <w:r w:rsidRPr="00B84036">
        <w:rPr>
          <w:bCs/>
          <w:lang w:val="fr-FR" w:eastAsia="cs-CZ"/>
        </w:rPr>
        <w:t xml:space="preserve"> Brighi M., Murgia F. &amp; Černý R. (2020). </w:t>
      </w:r>
      <w:r w:rsidRPr="00B84036">
        <w:rPr>
          <w:bCs/>
          <w:i/>
          <w:lang w:val="fr-FR" w:eastAsia="cs-CZ"/>
        </w:rPr>
        <w:t>Cell Press Phys Sci</w:t>
      </w:r>
      <w:r w:rsidRPr="00B84036">
        <w:rPr>
          <w:bCs/>
          <w:lang w:val="fr-FR" w:eastAsia="cs-CZ"/>
        </w:rPr>
        <w:t xml:space="preserve">., </w:t>
      </w:r>
      <w:r w:rsidRPr="00B84036">
        <w:rPr>
          <w:b/>
          <w:bCs/>
          <w:lang w:val="fr-FR" w:eastAsia="cs-CZ"/>
        </w:rPr>
        <w:t>1</w:t>
      </w:r>
      <w:r w:rsidRPr="00B84036">
        <w:rPr>
          <w:bCs/>
          <w:lang w:val="fr-FR" w:eastAsia="cs-CZ"/>
        </w:rPr>
        <w:t>, 100217</w:t>
      </w:r>
      <w:r w:rsidRPr="00B84036">
        <w:rPr>
          <w:bCs/>
          <w:lang w:eastAsia="cs-CZ"/>
        </w:rPr>
        <w:t>.</w:t>
      </w:r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>[3]</w:t>
      </w:r>
      <w:r w:rsidRPr="00B84036">
        <w:rPr>
          <w:bCs/>
          <w:lang w:val="fr-FR" w:eastAsia="cs-CZ"/>
        </w:rPr>
        <w:t xml:space="preserve"> Murgia F., Brighi M., Piveteau</w:t>
      </w:r>
      <w:r w:rsidR="00876CFC">
        <w:rPr>
          <w:bCs/>
          <w:lang w:val="fr-FR" w:eastAsia="cs-CZ"/>
        </w:rPr>
        <w:t xml:space="preserve"> L. </w:t>
      </w:r>
      <w:r w:rsidR="00876CFC" w:rsidRPr="00876CFC">
        <w:rPr>
          <w:bCs/>
          <w:i/>
          <w:lang w:val="fr-FR" w:eastAsia="cs-CZ"/>
        </w:rPr>
        <w:t>et al</w:t>
      </w:r>
      <w:r w:rsidR="00876CFC">
        <w:rPr>
          <w:bCs/>
          <w:lang w:val="fr-FR" w:eastAsia="cs-CZ"/>
        </w:rPr>
        <w:t>.</w:t>
      </w:r>
      <w:r w:rsidRPr="00B84036">
        <w:rPr>
          <w:bCs/>
          <w:lang w:val="fr-FR" w:eastAsia="cs-CZ"/>
        </w:rPr>
        <w:t xml:space="preserve"> (2021). </w:t>
      </w:r>
      <w:r w:rsidRPr="00B84036">
        <w:rPr>
          <w:bCs/>
          <w:i/>
          <w:lang w:val="fr-FR" w:eastAsia="cs-CZ"/>
        </w:rPr>
        <w:t>Appl. Materials Interfaces</w:t>
      </w:r>
      <w:r w:rsidRPr="00B84036">
        <w:rPr>
          <w:bCs/>
          <w:lang w:val="fr-FR" w:eastAsia="cs-CZ"/>
        </w:rPr>
        <w:t xml:space="preserve">., </w:t>
      </w:r>
      <w:r w:rsidRPr="00B84036">
        <w:rPr>
          <w:b/>
          <w:bCs/>
          <w:lang w:val="fr-FR" w:eastAsia="cs-CZ"/>
        </w:rPr>
        <w:t>13</w:t>
      </w:r>
      <w:r w:rsidRPr="00B84036">
        <w:rPr>
          <w:bCs/>
          <w:lang w:val="fr-FR" w:eastAsia="cs-CZ"/>
        </w:rPr>
        <w:t>, 61346</w:t>
      </w:r>
      <w:r w:rsidRPr="00B84036">
        <w:rPr>
          <w:bCs/>
          <w:lang w:eastAsia="cs-CZ"/>
        </w:rPr>
        <w:t>.</w:t>
      </w:r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 xml:space="preserve">[4] Schouwink P., Didelot E., Lee Y.-S., Mazet T. &amp; </w:t>
      </w:r>
      <w:r w:rsidRPr="00B84036">
        <w:rPr>
          <w:bCs/>
          <w:lang w:val="fr-FR" w:eastAsia="cs-CZ"/>
        </w:rPr>
        <w:t>Černý</w:t>
      </w:r>
      <w:r w:rsidRPr="00B84036">
        <w:rPr>
          <w:bCs/>
          <w:lang w:eastAsia="cs-CZ"/>
        </w:rPr>
        <w:t xml:space="preserve"> R. (2016). </w:t>
      </w:r>
      <w:r w:rsidRPr="00B84036">
        <w:rPr>
          <w:bCs/>
          <w:i/>
          <w:lang w:eastAsia="cs-CZ"/>
        </w:rPr>
        <w:t>J. Alloys Compounds.</w:t>
      </w:r>
      <w:r w:rsidRPr="00B84036">
        <w:rPr>
          <w:bCs/>
          <w:lang w:eastAsia="cs-CZ"/>
        </w:rPr>
        <w:t xml:space="preserve">, </w:t>
      </w:r>
      <w:r w:rsidRPr="00B84036">
        <w:rPr>
          <w:b/>
          <w:bCs/>
          <w:lang w:eastAsia="cs-CZ"/>
        </w:rPr>
        <w:t>664</w:t>
      </w:r>
      <w:r w:rsidRPr="00B84036">
        <w:rPr>
          <w:bCs/>
          <w:lang w:eastAsia="cs-CZ"/>
        </w:rPr>
        <w:t>, 378-384.</w:t>
      </w:r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 xml:space="preserve">[5] Schouwink P., Brix Ley M., Tissot A., Hagemann H., Jensen T.R., Smrčok L. &amp; </w:t>
      </w:r>
      <w:r w:rsidRPr="00B84036">
        <w:rPr>
          <w:bCs/>
          <w:lang w:val="fr-FR" w:eastAsia="cs-CZ"/>
        </w:rPr>
        <w:t>Černý</w:t>
      </w:r>
      <w:r w:rsidRPr="00B84036">
        <w:rPr>
          <w:bCs/>
          <w:lang w:eastAsia="cs-CZ"/>
        </w:rPr>
        <w:t xml:space="preserve"> R. (2014). </w:t>
      </w:r>
      <w:r w:rsidRPr="00B84036">
        <w:rPr>
          <w:bCs/>
          <w:i/>
          <w:lang w:eastAsia="cs-CZ"/>
        </w:rPr>
        <w:t>Nature Comm.</w:t>
      </w:r>
      <w:r w:rsidRPr="00B84036">
        <w:rPr>
          <w:bCs/>
          <w:lang w:eastAsia="cs-CZ"/>
        </w:rPr>
        <w:t xml:space="preserve">, </w:t>
      </w:r>
      <w:r w:rsidRPr="00B84036">
        <w:rPr>
          <w:b/>
          <w:bCs/>
          <w:lang w:eastAsia="cs-CZ"/>
        </w:rPr>
        <w:t>5</w:t>
      </w:r>
      <w:r w:rsidRPr="00B84036">
        <w:rPr>
          <w:bCs/>
          <w:lang w:eastAsia="cs-CZ"/>
        </w:rPr>
        <w:t>:5706.</w:t>
      </w:r>
    </w:p>
    <w:p w:rsidR="00B84036" w:rsidRPr="00B84036" w:rsidRDefault="00B84036" w:rsidP="00B84036">
      <w:pPr>
        <w:rPr>
          <w:bCs/>
          <w:lang w:eastAsia="cs-CZ"/>
        </w:rPr>
      </w:pPr>
      <w:r w:rsidRPr="00B84036">
        <w:rPr>
          <w:bCs/>
          <w:lang w:eastAsia="cs-CZ"/>
        </w:rPr>
        <w:t xml:space="preserve">[6] K. Zhang, R. Song, J. Qi, Z. Zhang, Z. Zhang, Yu. Chenyang, K. Li, Z. Zhang &amp; B. Li. (2022). </w:t>
      </w:r>
      <w:r w:rsidRPr="00B84036">
        <w:rPr>
          <w:bCs/>
          <w:i/>
          <w:lang w:eastAsia="cs-CZ"/>
        </w:rPr>
        <w:t>Adv. Funct. Mater.</w:t>
      </w:r>
      <w:r w:rsidRPr="00B84036">
        <w:rPr>
          <w:bCs/>
          <w:lang w:eastAsia="cs-CZ"/>
        </w:rPr>
        <w:t xml:space="preserve">, </w:t>
      </w:r>
      <w:r w:rsidRPr="00B84036">
        <w:rPr>
          <w:b/>
          <w:bCs/>
          <w:lang w:eastAsia="cs-CZ"/>
        </w:rPr>
        <w:t>32</w:t>
      </w:r>
      <w:r w:rsidRPr="00B84036">
        <w:rPr>
          <w:bCs/>
          <w:lang w:eastAsia="cs-CZ"/>
        </w:rPr>
        <w:t>, 2112622</w:t>
      </w:r>
    </w:p>
    <w:sectPr w:rsidR="00B84036" w:rsidRPr="00B84036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9D" w:rsidRDefault="0031419D">
      <w:pPr>
        <w:spacing w:after="0"/>
      </w:pPr>
      <w:r>
        <w:separator/>
      </w:r>
    </w:p>
  </w:endnote>
  <w:endnote w:type="continuationSeparator" w:id="0">
    <w:p w:rsidR="0031419D" w:rsidRDefault="00314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17" w:rsidRDefault="0031419D">
    <w:pPr>
      <w:pStyle w:val="Pieddepage"/>
    </w:pPr>
    <w:r>
      <w:t>Acta Cryst. (2025). A81, e1</w:t>
    </w:r>
  </w:p>
  <w:p w:rsidR="00B51E17" w:rsidRDefault="00B51E1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9D" w:rsidRDefault="0031419D">
      <w:pPr>
        <w:spacing w:after="0"/>
      </w:pPr>
      <w:r>
        <w:separator/>
      </w:r>
    </w:p>
  </w:footnote>
  <w:footnote w:type="continuationSeparator" w:id="0">
    <w:p w:rsidR="0031419D" w:rsidRDefault="00314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17" w:rsidRDefault="0031419D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31419D"/>
    <w:rsid w:val="00876CFC"/>
    <w:rsid w:val="00B51E17"/>
    <w:rsid w:val="00B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5ED43"/>
  <w15:docId w15:val="{988A1C88-A145-4ABB-8964-61B63529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0618A-0DC0-4775-88E4-7F4150F1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Cerny</cp:lastModifiedBy>
  <cp:revision>2</cp:revision>
  <dcterms:created xsi:type="dcterms:W3CDTF">2025-04-16T13:17:00Z</dcterms:created>
  <dcterms:modified xsi:type="dcterms:W3CDTF">2025-04-16T13:17:00Z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