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061F6" w14:textId="77777777" w:rsidR="000F7C97" w:rsidRDefault="000F7C97" w:rsidP="00B2255C">
      <w:pPr>
        <w:pStyle w:val="Heading1"/>
        <w:rPr>
          <w:iCs/>
        </w:rPr>
      </w:pPr>
      <w:r w:rsidRPr="000F7C97">
        <w:t>Investigating trimeron dynamics and lattice instabilities in Magnetite</w:t>
      </w:r>
    </w:p>
    <w:p w14:paraId="49AAE479" w14:textId="77777777" w:rsidR="00B86AE2" w:rsidRPr="00EC16C8" w:rsidRDefault="000F7C97" w:rsidP="00B2255C">
      <w:pPr>
        <w:pStyle w:val="Heading2"/>
        <w:rPr>
          <w:lang w:val="en-US"/>
        </w:rPr>
      </w:pPr>
      <w:r w:rsidRPr="00EC16C8">
        <w:rPr>
          <w:lang w:val="en-US"/>
        </w:rPr>
        <w:t xml:space="preserve">B. M. D. </w:t>
      </w:r>
      <w:proofErr w:type="spellStart"/>
      <w:r w:rsidRPr="00EC16C8">
        <w:rPr>
          <w:lang w:val="en-US"/>
        </w:rPr>
        <w:t>Fahl</w:t>
      </w:r>
      <w:proofErr w:type="spellEnd"/>
      <w:r w:rsidRPr="00EC16C8">
        <w:rPr>
          <w:lang w:val="en-US"/>
        </w:rPr>
        <w:t>, A. Simonov</w:t>
      </w:r>
    </w:p>
    <w:p w14:paraId="3C0BD916" w14:textId="77777777" w:rsidR="00B86AE2" w:rsidRPr="00B2255C" w:rsidRDefault="000F7C97" w:rsidP="00B2255C">
      <w:pPr>
        <w:pStyle w:val="Heading3"/>
      </w:pPr>
      <w:r w:rsidRPr="00B2255C">
        <w:t>ETH Zurich, Department of Materials, Zurich, Switzerland</w:t>
      </w:r>
    </w:p>
    <w:p w14:paraId="2D9406BF" w14:textId="77777777" w:rsidR="00B86AE2" w:rsidRDefault="000F7C97" w:rsidP="00B2255C">
      <w:pPr>
        <w:pStyle w:val="Heading3"/>
        <w:rPr>
          <w:sz w:val="18"/>
          <w:szCs w:val="18"/>
        </w:rPr>
      </w:pPr>
      <w:r w:rsidRPr="00B2255C">
        <w:t>Benjamin.Fahl@mat.ethz.ch</w:t>
      </w:r>
      <w:r>
        <w:rPr>
          <w:lang w:eastAsia="de-DE"/>
        </w:rPr>
        <w:br/>
      </w:r>
    </w:p>
    <w:p w14:paraId="22D39A7D" w14:textId="77777777" w:rsidR="000F7C97" w:rsidRPr="000F7C97" w:rsidRDefault="000F7C97" w:rsidP="00B2255C">
      <w:r w:rsidRPr="000F7C97">
        <w:t xml:space="preserve">Nearly 70 years after Verwey's discovery of the low-temperature phase transition in magnetite, </w:t>
      </w:r>
      <w:proofErr w:type="spellStart"/>
      <w:r w:rsidRPr="000F7C97">
        <w:t>Senn</w:t>
      </w:r>
      <w:proofErr w:type="spellEnd"/>
      <w:r w:rsidRPr="000F7C97">
        <w:t xml:space="preserve"> et al. finally solved its structure in 2012</w:t>
      </w:r>
      <w:r w:rsidR="00F9038D">
        <w:t xml:space="preserve">[1]. </w:t>
      </w:r>
      <w:r w:rsidRPr="000F7C97">
        <w:t>A key aspect of this phase's complexity is the existence of linear motifs</w:t>
      </w:r>
      <w:r>
        <w:rPr>
          <w:bCs/>
          <w:i/>
        </w:rPr>
        <w:t xml:space="preserve"> </w:t>
      </w:r>
      <w:r w:rsidRPr="000F7C97">
        <w:t xml:space="preserve">consisting of three iron atoms: one </w:t>
      </w:r>
      <w:r w:rsidR="00F9038D" w:rsidRPr="00F9038D">
        <w:t>Fe</w:t>
      </w:r>
      <w:r w:rsidR="00F9038D" w:rsidRPr="00F9038D">
        <w:rPr>
          <w:vertAlign w:val="superscript"/>
        </w:rPr>
        <w:t>2+</w:t>
      </w:r>
      <w:r w:rsidR="00F9038D">
        <w:t xml:space="preserve"> </w:t>
      </w:r>
      <w:r w:rsidRPr="000F7C97">
        <w:t>and two</w:t>
      </w:r>
      <w:r>
        <w:rPr>
          <w:bCs/>
          <w:i/>
        </w:rPr>
        <w:t xml:space="preserve"> </w:t>
      </w:r>
      <w:r w:rsidR="00F9038D">
        <w:t>Fe</w:t>
      </w:r>
      <w:r w:rsidR="00F9038D">
        <w:rPr>
          <w:vertAlign w:val="superscript"/>
        </w:rPr>
        <w:t>3+</w:t>
      </w:r>
      <w:r w:rsidR="00F9038D">
        <w:t xml:space="preserve"> </w:t>
      </w:r>
      <w:r w:rsidRPr="000F7C97">
        <w:t>ions. In these Fe-Fe-Fe units, known as trimerons, the</w:t>
      </w:r>
      <w:r>
        <w:rPr>
          <w:bCs/>
          <w:i/>
        </w:rPr>
        <w:t xml:space="preserve"> </w:t>
      </w:r>
      <w:r w:rsidRPr="000F7C97">
        <w:t xml:space="preserve">extra </w:t>
      </w:r>
      <w:r w:rsidR="00F9038D" w:rsidRPr="00F9038D">
        <w:t>Fe</w:t>
      </w:r>
      <w:r w:rsidR="00F9038D" w:rsidRPr="00F9038D">
        <w:rPr>
          <w:vertAlign w:val="superscript"/>
        </w:rPr>
        <w:t>2+</w:t>
      </w:r>
      <w:r w:rsidR="00F9038D">
        <w:t xml:space="preserve"> </w:t>
      </w:r>
      <w:r w:rsidRPr="000F7C97">
        <w:t>electron is shared. These trimerons form a complex</w:t>
      </w:r>
      <w:r>
        <w:rPr>
          <w:bCs/>
          <w:i/>
        </w:rPr>
        <w:t xml:space="preserve"> </w:t>
      </w:r>
      <w:r w:rsidRPr="000F7C97">
        <w:t>network of charge and orbital ordering, resulting in the observed monoclinic</w:t>
      </w:r>
      <w:r>
        <w:rPr>
          <w:bCs/>
          <w:i/>
        </w:rPr>
        <w:t xml:space="preserve"> </w:t>
      </w:r>
      <w:r w:rsidRPr="000F7C97">
        <w:t xml:space="preserve">superstructure of magnetite </w:t>
      </w:r>
      <w:r w:rsidR="00F9038D">
        <w:t>[2].</w:t>
      </w:r>
    </w:p>
    <w:p w14:paraId="2ADA83BB" w14:textId="71B92F73" w:rsidR="0017682B" w:rsidRPr="000F7C97" w:rsidRDefault="00635EFB" w:rsidP="00B2255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B94645" wp14:editId="3E0EA173">
                <wp:simplePos x="0" y="0"/>
                <wp:positionH relativeFrom="column">
                  <wp:posOffset>497840</wp:posOffset>
                </wp:positionH>
                <wp:positionV relativeFrom="paragraph">
                  <wp:posOffset>3701056</wp:posOffset>
                </wp:positionV>
                <wp:extent cx="5786755" cy="635"/>
                <wp:effectExtent l="0" t="0" r="4445" b="0"/>
                <wp:wrapTopAndBottom/>
                <wp:docPr id="19799127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67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4E0259" w14:textId="77777777" w:rsidR="0017682B" w:rsidRPr="0017682B" w:rsidRDefault="0017682B" w:rsidP="00EC16C8">
                            <w:pPr>
                              <w:pStyle w:val="Heading6"/>
                              <w:jc w:val="both"/>
                            </w:pPr>
                            <w:r w:rsidRPr="00782969">
                              <w:rPr>
                                <w:b/>
                                <w:bCs w:val="0"/>
                              </w:rPr>
                              <w:t xml:space="preserve">Figure </w:t>
                            </w:r>
                            <w:r w:rsidRPr="00782969">
                              <w:rPr>
                                <w:b/>
                                <w:bCs w:val="0"/>
                              </w:rPr>
                              <w:fldChar w:fldCharType="begin"/>
                            </w:r>
                            <w:r w:rsidRPr="00782969">
                              <w:rPr>
                                <w:b/>
                                <w:bCs w:val="0"/>
                              </w:rPr>
                              <w:instrText xml:space="preserve"> SEQ Figure \* ARABIC </w:instrText>
                            </w:r>
                            <w:r w:rsidRPr="00782969">
                              <w:rPr>
                                <w:b/>
                                <w:bCs w:val="0"/>
                              </w:rPr>
                              <w:fldChar w:fldCharType="separate"/>
                            </w:r>
                            <w:r w:rsidRPr="00782969">
                              <w:rPr>
                                <w:b/>
                                <w:bCs w:val="0"/>
                                <w:noProof/>
                              </w:rPr>
                              <w:t>1</w:t>
                            </w:r>
                            <w:r w:rsidRPr="00782969">
                              <w:rPr>
                                <w:b/>
                                <w:bCs w:val="0"/>
                              </w:rPr>
                              <w:fldChar w:fldCharType="end"/>
                            </w:r>
                            <w:r>
                              <w:t xml:space="preserve"> (a) Diffuse scattering diversity in magnetite near the 102 K phase transition, with dynamic features seen from the lack of X-ray form factor decay in </w:t>
                            </w:r>
                            <w:proofErr w:type="spellStart"/>
                            <w:r w:rsidR="002D4E59">
                              <w:t>hk</w:t>
                            </w:r>
                            <w:r>
                              <w:t>x</w:t>
                            </w:r>
                            <w:proofErr w:type="spellEnd"/>
                            <w:r>
                              <w:t xml:space="preserve"> (x = {0, 1/2, 2, 4}).</w:t>
                            </w:r>
                            <w:r w:rsidR="002D4E59">
                              <w:t xml:space="preserve"> </w:t>
                            </w:r>
                            <w:r>
                              <w:t>(b) Comparison of diffuse scattering at 102 K and 370 K showing persistent trimeron features. (c) PDF showing inter-trimeron chain correlation with missing horizontal component, suggesting unusual dynamics.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9464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.2pt;margin-top:291.4pt;width:455.6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" stroked="f">
                <v:textbox style="mso-fit-shape-to-text:t" inset="0,0,0,0">
                  <w:txbxContent>
                    <w:p w14:paraId="6B4E0259" w14:textId="77777777" w:rsidR="0017682B" w:rsidRPr="0017682B" w:rsidRDefault="0017682B" w:rsidP="00EC16C8">
                      <w:pPr>
                        <w:pStyle w:val="Heading6"/>
                        <w:jc w:val="both"/>
                      </w:pPr>
                      <w:r w:rsidRPr="00782969">
                        <w:rPr>
                          <w:b/>
                          <w:bCs w:val="0"/>
                        </w:rPr>
                        <w:t xml:space="preserve">Figure </w:t>
                      </w:r>
                      <w:r w:rsidRPr="00782969">
                        <w:rPr>
                          <w:b/>
                          <w:bCs w:val="0"/>
                        </w:rPr>
                        <w:fldChar w:fldCharType="begin"/>
                      </w:r>
                      <w:r w:rsidRPr="00782969">
                        <w:rPr>
                          <w:b/>
                          <w:bCs w:val="0"/>
                        </w:rPr>
                        <w:instrText xml:space="preserve"> SEQ Figure \* ARABIC </w:instrText>
                      </w:r>
                      <w:r w:rsidRPr="00782969">
                        <w:rPr>
                          <w:b/>
                          <w:bCs w:val="0"/>
                        </w:rPr>
                        <w:fldChar w:fldCharType="separate"/>
                      </w:r>
                      <w:r w:rsidRPr="00782969">
                        <w:rPr>
                          <w:b/>
                          <w:bCs w:val="0"/>
                          <w:noProof/>
                        </w:rPr>
                        <w:t>1</w:t>
                      </w:r>
                      <w:r w:rsidRPr="00782969">
                        <w:rPr>
                          <w:b/>
                          <w:bCs w:val="0"/>
                        </w:rPr>
                        <w:fldChar w:fldCharType="end"/>
                      </w:r>
                      <w:r>
                        <w:t xml:space="preserve"> (a) Diffuse scattering diversity in magnetite near the 102 K phase transition, with dynamic features seen from the lack of X-ray form factor decay in </w:t>
                      </w:r>
                      <w:proofErr w:type="spellStart"/>
                      <w:r w:rsidR="002D4E59">
                        <w:t>hk</w:t>
                      </w:r>
                      <w:r>
                        <w:t>x</w:t>
                      </w:r>
                      <w:proofErr w:type="spellEnd"/>
                      <w:r>
                        <w:t xml:space="preserve"> (x = {0, 1/2, 2, 4}).</w:t>
                      </w:r>
                      <w:r w:rsidR="002D4E59">
                        <w:t xml:space="preserve"> </w:t>
                      </w:r>
                      <w:r>
                        <w:t>(b) Comparison of diffuse scattering at 102 K and 370 K showing persistent trimeron features. (c) PDF showing inter-trimeron chain correlation with missing horizontal component, suggesting unusual dynamics.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4585D495" wp14:editId="685E54D2">
            <wp:simplePos x="0" y="0"/>
            <wp:positionH relativeFrom="margin">
              <wp:posOffset>368935</wp:posOffset>
            </wp:positionH>
            <wp:positionV relativeFrom="paragraph">
              <wp:posOffset>1612541</wp:posOffset>
            </wp:positionV>
            <wp:extent cx="6125210" cy="2157095"/>
            <wp:effectExtent l="0" t="0" r="0" b="1905"/>
            <wp:wrapTopAndBottom/>
            <wp:docPr id="3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215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F48" w:rsidRPr="00F32F48">
        <w:rPr>
          <w:noProof/>
        </w:rPr>
        <w:t xml:space="preserve">Recent research using one-dimensional powder PDF analysis by Perversi et al. (2019) [3] has shown that trimerons, characteristic of the low-temperature phase, persist up to magnetite's Curie temperature (858 K [4]) They proposed a boxcar model where, above the phase transition, the average structure is an interpolation of the low-temperature phase over about 8 Å. Locally, the structure resembles the low-temperature Cc phase within this range. </w:t>
      </w:r>
      <w:r w:rsidR="00F32F48">
        <w:rPr>
          <w:noProof/>
        </w:rPr>
        <w:t>T</w:t>
      </w:r>
      <w:r w:rsidR="00F32F48" w:rsidRPr="00F32F48">
        <w:rPr>
          <w:noProof/>
        </w:rPr>
        <w:t>he model they use to compute distances is larger than the size extracted from the boxcar fit, meaning it does not match the experimental constraint. Since Verwey-like signatures are confined to about one unit cell in their model, but the Verwey phase extends over a larger scale, this further suggests that their model is incomplete. Powder averaging, which merges reciprocal space features, limits the resolution of structural information</w:t>
      </w:r>
      <w:r w:rsidR="00C808A4">
        <w:rPr>
          <w:noProof/>
        </w:rPr>
        <w:t>, measured at Diamond I19</w:t>
      </w:r>
      <w:r w:rsidR="00F32F48" w:rsidRPr="00F32F48">
        <w:rPr>
          <w:noProof/>
        </w:rPr>
        <w:t xml:space="preserve">. To overcome these limitations </w:t>
      </w:r>
      <w:r w:rsidR="00F32F48">
        <w:rPr>
          <w:noProof/>
        </w:rPr>
        <w:t xml:space="preserve">for better </w:t>
      </w:r>
      <w:r w:rsidR="00F32F48" w:rsidRPr="00F32F48">
        <w:rPr>
          <w:noProof/>
        </w:rPr>
        <w:t>structural insights, we employ single-crystal diffuse scattering and 3D-ΔPDF analysis to solve the real structure of the high-temperature phase on local and average levels as seen in fig 1. Our data reveals sharp features throughout the Brillouin zone</w:t>
      </w:r>
      <w:r w:rsidR="00F32F48">
        <w:rPr>
          <w:noProof/>
        </w:rPr>
        <w:t xml:space="preserve"> and unusual displacment correlations in the </w:t>
      </w:r>
      <w:r w:rsidR="00F32F48" w:rsidRPr="00F32F48">
        <w:rPr>
          <w:noProof/>
        </w:rPr>
        <w:t>3D-ΔPDF, suggesting a more complex local structure than simple Verwey-like features condensing into the Verwey phase near the transition temperature</w:t>
      </w:r>
      <w:r w:rsidR="00F32F48">
        <w:rPr>
          <w:noProof/>
        </w:rPr>
        <w:t>.</w:t>
      </w:r>
    </w:p>
    <w:p w14:paraId="1BFC5A01" w14:textId="47CFF82F" w:rsidR="000F7C97" w:rsidRDefault="000F7C97" w:rsidP="00B2255C">
      <w:pPr>
        <w:rPr>
          <w:bCs/>
          <w:i/>
        </w:rPr>
      </w:pPr>
      <w:r w:rsidRPr="000F7C97">
        <w:t>To disentangle these complex structural dynamics, we are developing an all-order phonon approach to thermal diffuse scattering (TDS). This method describes the undistorted magnetite structure's TDS contributions directly in reciprocal space, utilizing an atomic displacement pair correlation approach.</w:t>
      </w:r>
      <w:r>
        <w:rPr>
          <w:bCs/>
          <w:i/>
        </w:rPr>
        <w:t xml:space="preserve"> </w:t>
      </w:r>
      <w:r w:rsidRPr="000F7C97">
        <w:t>We separate the contributions of regular thermal vibrations from those arising from lattice instabilities and polaron formations.</w:t>
      </w:r>
      <w:r>
        <w:rPr>
          <w:bCs/>
          <w:i/>
        </w:rPr>
        <w:t xml:space="preserve"> </w:t>
      </w:r>
      <w:r w:rsidRPr="000F7C97">
        <w:t>This separation of scattering components provides insight into the interplay between thermal effects and electronic correlations in the pre-Verwey transition regime.</w:t>
      </w:r>
      <w:r>
        <w:rPr>
          <w:bCs/>
          <w:i/>
        </w:rPr>
        <w:t xml:space="preserve"> </w:t>
      </w:r>
      <w:r w:rsidRPr="000F7C97">
        <w:t>Our findings suggest that the Verwey transition results from a balance of</w:t>
      </w:r>
      <w:r>
        <w:rPr>
          <w:bCs/>
          <w:i/>
        </w:rPr>
        <w:t xml:space="preserve"> </w:t>
      </w:r>
      <w:r w:rsidRPr="000F7C97">
        <w:t>competing lattice instabilities rather than a straightforward ordering process.</w:t>
      </w:r>
    </w:p>
    <w:p w14:paraId="3B158D43" w14:textId="1EF91815" w:rsidR="00B86AE2" w:rsidRPr="00782969" w:rsidRDefault="000F7C97" w:rsidP="00782969">
      <w:pPr>
        <w:rPr>
          <w:bCs/>
          <w:i/>
        </w:rPr>
      </w:pPr>
      <w:r w:rsidRPr="000F7C97">
        <w:t xml:space="preserve">In conclusion, our research refines the understanding of magnetite's electronic </w:t>
      </w:r>
      <w:proofErr w:type="spellStart"/>
      <w:r w:rsidRPr="000F7C97">
        <w:t>behavior</w:t>
      </w:r>
      <w:proofErr w:type="spellEnd"/>
      <w:r w:rsidRPr="000F7C97">
        <w:t xml:space="preserve"> and offers insights into the origins of the Verwey transition and provides a new framework for investigating similar phenomena in other strongly correlated electron systems.</w:t>
      </w:r>
      <w:r w:rsidR="00FA62A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7871B1" wp14:editId="2DAE56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138298654" name="_x0000_tole_rId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85167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" filled="f" stroked="f"/>
            </w:pict>
          </mc:Fallback>
        </mc:AlternateContent>
      </w:r>
    </w:p>
    <w:p w14:paraId="44D92652" w14:textId="3869CDF4" w:rsidR="000F7C97" w:rsidRPr="00F9038D" w:rsidRDefault="000F7C97" w:rsidP="000F7C97">
      <w:pPr>
        <w:rPr>
          <w:bCs/>
          <w:sz w:val="18"/>
          <w:szCs w:val="18"/>
          <w:lang w:val="en-US"/>
        </w:rPr>
      </w:pPr>
      <w:r w:rsidRPr="00F9038D">
        <w:rPr>
          <w:bCs/>
          <w:iCs/>
          <w:sz w:val="18"/>
          <w:szCs w:val="18"/>
          <w:lang w:val="en-US"/>
        </w:rPr>
        <w:t>[1]</w:t>
      </w:r>
      <w:r w:rsidRPr="00F9038D">
        <w:rPr>
          <w:bCs/>
          <w:i/>
          <w:sz w:val="18"/>
          <w:szCs w:val="18"/>
          <w:lang w:val="en-US"/>
        </w:rPr>
        <w:t xml:space="preserve"> </w:t>
      </w:r>
      <w:proofErr w:type="spellStart"/>
      <w:r w:rsidRPr="00F9038D">
        <w:rPr>
          <w:bCs/>
          <w:sz w:val="18"/>
          <w:szCs w:val="18"/>
          <w:lang w:val="en-US"/>
        </w:rPr>
        <w:t>Senn</w:t>
      </w:r>
      <w:proofErr w:type="spellEnd"/>
      <w:r w:rsidRPr="00F9038D">
        <w:rPr>
          <w:bCs/>
          <w:sz w:val="18"/>
          <w:szCs w:val="18"/>
          <w:lang w:val="en-US"/>
        </w:rPr>
        <w:t>, M. S., Wright, J. P. &amp; Attfield, J. P. Nature 481, 173–176 (2012).</w:t>
      </w:r>
    </w:p>
    <w:p w14:paraId="599FEF9B" w14:textId="77777777" w:rsidR="000F7C97" w:rsidRPr="00EC16C8" w:rsidRDefault="000F7C97" w:rsidP="000F7C97">
      <w:pPr>
        <w:rPr>
          <w:sz w:val="18"/>
          <w:szCs w:val="18"/>
          <w:lang w:val="fr-CH" w:eastAsia="cs-CZ"/>
        </w:rPr>
      </w:pPr>
      <w:r w:rsidRPr="00EC16C8">
        <w:rPr>
          <w:bCs/>
          <w:iCs/>
          <w:sz w:val="18"/>
          <w:szCs w:val="18"/>
          <w:lang w:val="fr-CH"/>
        </w:rPr>
        <w:t>[2]</w:t>
      </w:r>
      <w:r w:rsidRPr="00EC16C8">
        <w:rPr>
          <w:bCs/>
          <w:i/>
          <w:sz w:val="18"/>
          <w:szCs w:val="18"/>
          <w:lang w:val="fr-CH"/>
        </w:rPr>
        <w:t xml:space="preserve"> </w:t>
      </w:r>
      <w:proofErr w:type="spellStart"/>
      <w:r w:rsidRPr="00F9038D">
        <w:rPr>
          <w:bCs/>
          <w:sz w:val="18"/>
          <w:szCs w:val="18"/>
          <w:lang w:val="fr-CH"/>
        </w:rPr>
        <w:t>Perversi</w:t>
      </w:r>
      <w:proofErr w:type="spellEnd"/>
      <w:r w:rsidRPr="00F9038D">
        <w:rPr>
          <w:bCs/>
          <w:sz w:val="18"/>
          <w:szCs w:val="18"/>
          <w:lang w:val="fr-CH"/>
        </w:rPr>
        <w:t>, G. et al. Chemical Communications, vol. 52, no. 27, pp. 4864–4867, 2016.</w:t>
      </w:r>
    </w:p>
    <w:p w14:paraId="67B7E2A6" w14:textId="77777777" w:rsidR="000F7C97" w:rsidRPr="00F9038D" w:rsidRDefault="000F7C97" w:rsidP="000F7C97">
      <w:pPr>
        <w:pStyle w:val="Heading4"/>
        <w:rPr>
          <w:szCs w:val="18"/>
          <w:lang w:val="fr-CH"/>
        </w:rPr>
      </w:pPr>
      <w:r w:rsidRPr="00F9038D">
        <w:rPr>
          <w:iCs/>
          <w:szCs w:val="18"/>
          <w:lang w:val="fr-CH"/>
        </w:rPr>
        <w:t>[3]</w:t>
      </w:r>
      <w:r w:rsidRPr="00F9038D">
        <w:rPr>
          <w:i/>
          <w:szCs w:val="18"/>
          <w:lang w:val="fr-CH"/>
        </w:rPr>
        <w:t xml:space="preserve"> </w:t>
      </w:r>
      <w:proofErr w:type="spellStart"/>
      <w:r w:rsidRPr="00F9038D">
        <w:rPr>
          <w:szCs w:val="18"/>
          <w:lang w:val="fr-CH"/>
        </w:rPr>
        <w:t>Perversi</w:t>
      </w:r>
      <w:proofErr w:type="spellEnd"/>
      <w:r w:rsidRPr="00F9038D">
        <w:rPr>
          <w:szCs w:val="18"/>
          <w:lang w:val="fr-CH"/>
        </w:rPr>
        <w:t>, G. et al. Nat Commun 10, 2857 (2019).</w:t>
      </w:r>
    </w:p>
    <w:p w14:paraId="147EF63D" w14:textId="77777777" w:rsidR="00EC16C8" w:rsidRPr="00EC16C8" w:rsidRDefault="000F7C97" w:rsidP="00EC16C8">
      <w:pPr>
        <w:pStyle w:val="Heading4"/>
        <w:rPr>
          <w:szCs w:val="18"/>
          <w:lang w:val="en-US"/>
        </w:rPr>
      </w:pPr>
      <w:r w:rsidRPr="00F9038D">
        <w:rPr>
          <w:iCs/>
          <w:szCs w:val="18"/>
          <w:lang w:val="de-CH"/>
        </w:rPr>
        <w:t>[4]</w:t>
      </w:r>
      <w:r w:rsidRPr="00F9038D">
        <w:rPr>
          <w:i/>
          <w:szCs w:val="18"/>
          <w:lang w:val="de-CH"/>
        </w:rPr>
        <w:t xml:space="preserve"> </w:t>
      </w:r>
      <w:r w:rsidRPr="00F9038D">
        <w:rPr>
          <w:szCs w:val="18"/>
          <w:lang w:val="de-CH"/>
        </w:rPr>
        <w:t xml:space="preserve">M. Hoesch. et al. Phys. </w:t>
      </w:r>
      <w:r w:rsidRPr="00F9038D">
        <w:rPr>
          <w:szCs w:val="18"/>
          <w:lang w:val="en-US"/>
        </w:rPr>
        <w:t>Rev. Lett. 110, 207204 (2013)</w:t>
      </w:r>
    </w:p>
    <w:sectPr w:rsidR="00EC16C8" w:rsidRPr="00EC16C8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97DEF" w14:textId="77777777" w:rsidR="00D20F44" w:rsidRDefault="00D20F44">
      <w:pPr>
        <w:spacing w:after="0"/>
      </w:pPr>
      <w:r>
        <w:separator/>
      </w:r>
    </w:p>
  </w:endnote>
  <w:endnote w:type="continuationSeparator" w:id="0">
    <w:p w14:paraId="325223D5" w14:textId="77777777" w:rsidR="00D20F44" w:rsidRDefault="00D20F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73992" w14:textId="77777777" w:rsidR="00B86AE2" w:rsidRDefault="00000000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36D88071" w14:textId="77777777" w:rsidR="00B86AE2" w:rsidRDefault="00B86AE2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E4E95" w14:textId="77777777" w:rsidR="00D20F44" w:rsidRDefault="00D20F44">
      <w:pPr>
        <w:spacing w:after="0"/>
      </w:pPr>
      <w:r>
        <w:separator/>
      </w:r>
    </w:p>
  </w:footnote>
  <w:footnote w:type="continuationSeparator" w:id="0">
    <w:p w14:paraId="1E9FD833" w14:textId="77777777" w:rsidR="00D20F44" w:rsidRDefault="00D20F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37DCB" w14:textId="64F09B04" w:rsidR="00B86AE2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 w:rsidR="00324A11">
      <w:rPr>
        <w:b/>
        <w:bCs/>
      </w:rPr>
      <w:t>23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E2"/>
    <w:rsid w:val="000F7C97"/>
    <w:rsid w:val="0017682B"/>
    <w:rsid w:val="002D4E59"/>
    <w:rsid w:val="00324A11"/>
    <w:rsid w:val="00635EFB"/>
    <w:rsid w:val="00782969"/>
    <w:rsid w:val="008B6A5D"/>
    <w:rsid w:val="009222FC"/>
    <w:rsid w:val="00AD1897"/>
    <w:rsid w:val="00B2255C"/>
    <w:rsid w:val="00B86AE2"/>
    <w:rsid w:val="00BB7015"/>
    <w:rsid w:val="00C4689A"/>
    <w:rsid w:val="00C808A4"/>
    <w:rsid w:val="00D20F44"/>
    <w:rsid w:val="00D568CF"/>
    <w:rsid w:val="00EC16C8"/>
    <w:rsid w:val="00F32F48"/>
    <w:rsid w:val="00F9038D"/>
    <w:rsid w:val="00FA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DC123"/>
  <w15:docId w15:val="{8FFE5E63-7EC7-9549-B3B0-0BF02414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H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Fahl  Benjamin</cp:lastModifiedBy>
  <cp:revision>6</cp:revision>
  <dcterms:created xsi:type="dcterms:W3CDTF">2025-04-27T17:00:00Z</dcterms:created>
  <dcterms:modified xsi:type="dcterms:W3CDTF">2025-04-28T15:38:00Z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