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530F" w14:textId="77777777" w:rsidR="00613EC8" w:rsidRDefault="00C33D9D" w:rsidP="00613EC8">
      <w:pPr>
        <w:pStyle w:val="Heading1"/>
      </w:pPr>
      <w:r>
        <w:t>Unprecedented nuclease activity explained by structure – whe</w:t>
      </w:r>
      <w:r w:rsidR="006F673C">
        <w:t>re</w:t>
      </w:r>
      <w:r>
        <w:t xml:space="preserve"> </w:t>
      </w:r>
      <w:r w:rsidR="006F673C">
        <w:t>one</w:t>
      </w:r>
      <w:r>
        <w:t xml:space="preserve"> bond matter</w:t>
      </w:r>
      <w:r w:rsidR="006F673C">
        <w:t>s</w:t>
      </w:r>
    </w:p>
    <w:p w14:paraId="53FC51D2" w14:textId="6B77D27B" w:rsidR="002E20E3" w:rsidRPr="00613EC8" w:rsidRDefault="00613EC8">
      <w:pPr>
        <w:pStyle w:val="Heading2"/>
        <w:rPr>
          <w:sz w:val="22"/>
          <w:szCs w:val="22"/>
        </w:rPr>
      </w:pPr>
      <w:r w:rsidRPr="00613EC8">
        <w:rPr>
          <w:sz w:val="22"/>
          <w:szCs w:val="22"/>
        </w:rPr>
        <w:t>J. Dohnálek</w:t>
      </w:r>
      <w:r w:rsidRPr="00613EC8">
        <w:rPr>
          <w:sz w:val="22"/>
          <w:szCs w:val="22"/>
          <w:vertAlign w:val="superscript"/>
        </w:rPr>
        <w:t>1</w:t>
      </w:r>
      <w:r w:rsidRPr="00613EC8">
        <w:rPr>
          <w:sz w:val="22"/>
          <w:szCs w:val="22"/>
        </w:rPr>
        <w:t>, K. Adámková</w:t>
      </w:r>
      <w:r w:rsidRPr="00613EC8">
        <w:rPr>
          <w:sz w:val="22"/>
          <w:szCs w:val="22"/>
          <w:vertAlign w:val="superscript"/>
        </w:rPr>
        <w:t>1</w:t>
      </w:r>
      <w:r w:rsidRPr="00613EC8">
        <w:rPr>
          <w:sz w:val="22"/>
          <w:szCs w:val="22"/>
        </w:rPr>
        <w:t>, M. Trundová</w:t>
      </w:r>
      <w:r w:rsidRPr="00613EC8">
        <w:rPr>
          <w:sz w:val="22"/>
          <w:szCs w:val="22"/>
          <w:vertAlign w:val="superscript"/>
        </w:rPr>
        <w:t>1</w:t>
      </w:r>
      <w:r w:rsidRPr="00613EC8">
        <w:rPr>
          <w:sz w:val="22"/>
          <w:szCs w:val="22"/>
        </w:rPr>
        <w:t>, B. Husťáková</w:t>
      </w:r>
      <w:r w:rsidRPr="00613EC8">
        <w:rPr>
          <w:sz w:val="22"/>
          <w:szCs w:val="22"/>
          <w:vertAlign w:val="superscript"/>
        </w:rPr>
        <w:t>1</w:t>
      </w:r>
      <w:r w:rsidRPr="00613EC8">
        <w:rPr>
          <w:sz w:val="22"/>
          <w:szCs w:val="22"/>
        </w:rPr>
        <w:t>, J. Dušková</w:t>
      </w:r>
      <w:r w:rsidRPr="00613EC8">
        <w:rPr>
          <w:sz w:val="22"/>
          <w:szCs w:val="22"/>
          <w:vertAlign w:val="superscript"/>
        </w:rPr>
        <w:t>1</w:t>
      </w:r>
      <w:r w:rsidRPr="00613EC8">
        <w:rPr>
          <w:sz w:val="22"/>
          <w:szCs w:val="22"/>
        </w:rPr>
        <w:t>, P. Kolenko</w:t>
      </w:r>
      <w:r w:rsidRPr="00613EC8">
        <w:rPr>
          <w:sz w:val="22"/>
          <w:szCs w:val="22"/>
          <w:vertAlign w:val="superscript"/>
        </w:rPr>
        <w:t>1,2</w:t>
      </w:r>
      <w:r w:rsidRPr="00613EC8">
        <w:rPr>
          <w:sz w:val="22"/>
          <w:szCs w:val="22"/>
        </w:rPr>
        <w:t>, T. Skálová</w:t>
      </w:r>
      <w:r w:rsidRPr="00613EC8">
        <w:rPr>
          <w:sz w:val="22"/>
          <w:szCs w:val="22"/>
          <w:vertAlign w:val="superscript"/>
        </w:rPr>
        <w:t>1</w:t>
      </w:r>
      <w:r w:rsidRPr="00613EC8">
        <w:rPr>
          <w:sz w:val="22"/>
          <w:szCs w:val="22"/>
        </w:rPr>
        <w:t>, T. Kovaľ</w:t>
      </w:r>
      <w:r w:rsidRPr="00613EC8">
        <w:rPr>
          <w:sz w:val="22"/>
          <w:szCs w:val="22"/>
          <w:vertAlign w:val="superscript"/>
        </w:rPr>
        <w:t>1</w:t>
      </w:r>
    </w:p>
    <w:p w14:paraId="11DBCA5F" w14:textId="77777777" w:rsidR="00613EC8" w:rsidRDefault="00613EC8" w:rsidP="00613EC8">
      <w:pPr>
        <w:pStyle w:val="Heading3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Institute of Biotechnology, Czech Academy of Sciences, </w:t>
      </w:r>
      <w:proofErr w:type="spellStart"/>
      <w:r>
        <w:rPr>
          <w:lang w:eastAsia="de-DE"/>
        </w:rPr>
        <w:t>Průmyslová</w:t>
      </w:r>
      <w:proofErr w:type="spellEnd"/>
      <w:r>
        <w:rPr>
          <w:lang w:eastAsia="de-DE"/>
        </w:rPr>
        <w:t xml:space="preserve"> 595, 25250 </w:t>
      </w:r>
      <w:proofErr w:type="spellStart"/>
      <w:r>
        <w:rPr>
          <w:lang w:eastAsia="de-DE"/>
        </w:rPr>
        <w:t>Vestec</w:t>
      </w:r>
      <w:proofErr w:type="spellEnd"/>
      <w:r>
        <w:rPr>
          <w:lang w:eastAsia="de-DE"/>
        </w:rPr>
        <w:br/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Czech Technical University in Prague, </w:t>
      </w:r>
      <w:proofErr w:type="spellStart"/>
      <w:r>
        <w:rPr>
          <w:lang w:eastAsia="de-DE"/>
        </w:rPr>
        <w:t>Břehová</w:t>
      </w:r>
      <w:proofErr w:type="spellEnd"/>
      <w:r>
        <w:rPr>
          <w:lang w:eastAsia="de-DE"/>
        </w:rPr>
        <w:t xml:space="preserve"> 7, 115 19, Prague</w:t>
      </w:r>
    </w:p>
    <w:p w14:paraId="37EF5343" w14:textId="77777777" w:rsidR="002E20E3" w:rsidRPr="00613EC8" w:rsidRDefault="00613EC8" w:rsidP="00613EC8">
      <w:pPr>
        <w:pStyle w:val="Heading3"/>
      </w:pPr>
      <w:r w:rsidRPr="00613EC8">
        <w:t>dohnalek@ibt.cas.cz</w:t>
      </w:r>
      <w:r w:rsidR="00095DA2" w:rsidRPr="00613EC8">
        <w:br/>
      </w:r>
    </w:p>
    <w:p w14:paraId="5FB3BDA8" w14:textId="263CD35E" w:rsidR="00613EC8" w:rsidRDefault="00FB227D" w:rsidP="00613EC8">
      <w:r>
        <w:t>S1-P1 nucleases are coded for by f</w:t>
      </w:r>
      <w:r w:rsidR="00613EC8">
        <w:t xml:space="preserve">ungi, </w:t>
      </w:r>
      <w:proofErr w:type="spellStart"/>
      <w:r w:rsidR="00613EC8">
        <w:t>trypanosomatids</w:t>
      </w:r>
      <w:proofErr w:type="spellEnd"/>
      <w:r w:rsidR="00613EC8">
        <w:t>, plants and some pathogenic bacteria</w:t>
      </w:r>
      <w:r w:rsidR="00613EC8">
        <w:rPr>
          <w:lang w:val="en-US"/>
        </w:rPr>
        <w:t xml:space="preserve"> [1]. </w:t>
      </w:r>
      <w:r w:rsidR="00613EC8">
        <w:rPr>
          <w:i/>
          <w:iCs/>
          <w:lang w:val="en-US"/>
        </w:rPr>
        <w:t xml:space="preserve">Leishmania </w:t>
      </w:r>
      <w:proofErr w:type="spellStart"/>
      <w:r w:rsidR="00613EC8">
        <w:rPr>
          <w:i/>
          <w:iCs/>
          <w:lang w:val="en-US"/>
        </w:rPr>
        <w:t>amazonensis</w:t>
      </w:r>
      <w:proofErr w:type="spellEnd"/>
      <w:r w:rsidR="00613EC8">
        <w:rPr>
          <w:lang w:val="en-US"/>
        </w:rPr>
        <w:t xml:space="preserve"> 3’-nucleotidase is </w:t>
      </w:r>
      <w:r w:rsidR="008E61DD">
        <w:rPr>
          <w:lang w:val="en-US"/>
        </w:rPr>
        <w:t>most likely</w:t>
      </w:r>
      <w:r w:rsidR="00613EC8">
        <w:rPr>
          <w:lang w:val="en-US"/>
        </w:rPr>
        <w:t xml:space="preserve"> a virulence factor, </w:t>
      </w:r>
      <w:r>
        <w:rPr>
          <w:lang w:val="en-US"/>
        </w:rPr>
        <w:t xml:space="preserve">the </w:t>
      </w:r>
      <w:r w:rsidR="00613EC8">
        <w:rPr>
          <w:lang w:val="en-US"/>
        </w:rPr>
        <w:t>plant</w:t>
      </w:r>
      <w:r>
        <w:rPr>
          <w:lang w:val="en-US"/>
        </w:rPr>
        <w:t xml:space="preserve"> enzymes </w:t>
      </w:r>
      <w:r w:rsidR="00613EC8">
        <w:rPr>
          <w:lang w:val="en-US"/>
        </w:rPr>
        <w:t>have a role in growth and cell death</w:t>
      </w:r>
      <w:r w:rsidR="008E61DD">
        <w:rPr>
          <w:lang w:val="en-US"/>
        </w:rPr>
        <w:t>, and t</w:t>
      </w:r>
      <w:r w:rsidR="00613EC8">
        <w:rPr>
          <w:lang w:val="en-US"/>
        </w:rPr>
        <w:t>he role of bacterial enzymes from this family is not clear.</w:t>
      </w:r>
      <w:r w:rsidR="008301BD">
        <w:rPr>
          <w:lang w:val="en-US"/>
        </w:rPr>
        <w:t xml:space="preserve"> </w:t>
      </w:r>
      <w:r w:rsidR="006A3525">
        <w:rPr>
          <w:lang w:val="en-US"/>
        </w:rPr>
        <w:t>These</w:t>
      </w:r>
      <w:r w:rsidR="00613EC8">
        <w:rPr>
          <w:lang w:val="en-US"/>
        </w:rPr>
        <w:t xml:space="preserve"> </w:t>
      </w:r>
      <w:r w:rsidR="006A3525">
        <w:rPr>
          <w:lang w:val="en-US"/>
        </w:rPr>
        <w:t>2</w:t>
      </w:r>
      <w:r w:rsidR="00613EC8">
        <w:rPr>
          <w:lang w:val="en-US"/>
        </w:rPr>
        <w:t xml:space="preserve">5-40 </w:t>
      </w:r>
      <w:proofErr w:type="spellStart"/>
      <w:r w:rsidR="00613EC8">
        <w:rPr>
          <w:lang w:val="en-US"/>
        </w:rPr>
        <w:t>kDa</w:t>
      </w:r>
      <w:proofErr w:type="spellEnd"/>
      <w:r w:rsidR="006A3525">
        <w:rPr>
          <w:lang w:val="en-US"/>
        </w:rPr>
        <w:t xml:space="preserve"> enzymes are </w:t>
      </w:r>
      <w:r w:rsidR="00613EC8">
        <w:rPr>
          <w:lang w:val="en-US"/>
        </w:rPr>
        <w:t xml:space="preserve">typically zinc-dependent. </w:t>
      </w:r>
      <w:r w:rsidR="004E2D2F">
        <w:rPr>
          <w:lang w:val="en-US"/>
        </w:rPr>
        <w:t xml:space="preserve">The active site relies on the metal </w:t>
      </w:r>
      <w:r w:rsidR="00613EC8">
        <w:rPr>
          <w:lang w:val="en-US"/>
        </w:rPr>
        <w:t>cluster</w:t>
      </w:r>
      <w:r w:rsidR="004E2D2F">
        <w:rPr>
          <w:lang w:val="en-US"/>
        </w:rPr>
        <w:t xml:space="preserve"> and </w:t>
      </w:r>
      <w:r w:rsidR="00613EC8">
        <w:rPr>
          <w:lang w:val="en-US"/>
        </w:rPr>
        <w:t>the nucleobase-binding site 1 stabiliz</w:t>
      </w:r>
      <w:r w:rsidR="004E2D2F">
        <w:rPr>
          <w:lang w:val="en-US"/>
        </w:rPr>
        <w:t xml:space="preserve">ing </w:t>
      </w:r>
      <w:r w:rsidR="00613EC8">
        <w:rPr>
          <w:lang w:val="en-US"/>
        </w:rPr>
        <w:t>the –1 nucleotide with respect to the cleaved O3’-P3’ bond. The</w:t>
      </w:r>
      <w:r w:rsidR="00D62880">
        <w:rPr>
          <w:lang w:val="en-US"/>
        </w:rPr>
        <w:t xml:space="preserve"> enzymes are universal with respect to the cleaved substrate</w:t>
      </w:r>
      <w:r w:rsidR="00DB7C15">
        <w:rPr>
          <w:lang w:val="en-US"/>
        </w:rPr>
        <w:t>, which enables their application in biotechnologies. They cleave</w:t>
      </w:r>
      <w:r w:rsidR="00613EC8">
        <w:rPr>
          <w:lang w:val="en-US"/>
        </w:rPr>
        <w:t xml:space="preserve"> DNA, RNA, single strands, double strands, </w:t>
      </w:r>
      <w:proofErr w:type="spellStart"/>
      <w:r w:rsidR="00613EC8">
        <w:rPr>
          <w:lang w:val="en-US"/>
        </w:rPr>
        <w:t>viroids</w:t>
      </w:r>
      <w:proofErr w:type="spellEnd"/>
      <w:r w:rsidR="00613EC8">
        <w:rPr>
          <w:lang w:val="en-US"/>
        </w:rPr>
        <w:t>, some modified nucleotides, oligonucleotides and genomic DNA, substrates which are structured or unstructured, without any significant sequence preference [1].</w:t>
      </w:r>
    </w:p>
    <w:p w14:paraId="0D7FD124" w14:textId="1F74020C" w:rsidR="00613EC8" w:rsidRDefault="00521C1A" w:rsidP="00613EC8">
      <w:r>
        <w:t xml:space="preserve">While </w:t>
      </w:r>
      <w:r w:rsidR="00613EC8">
        <w:t>their fold does not change across the species, their activity profiles differ dramatically</w:t>
      </w:r>
      <w:r>
        <w:t>. S</w:t>
      </w:r>
      <w:r w:rsidR="00613EC8">
        <w:t xml:space="preserve">ome </w:t>
      </w:r>
      <w:r>
        <w:t xml:space="preserve">representatives preferentially cleave </w:t>
      </w:r>
      <w:r w:rsidR="00613EC8">
        <w:t>ssDN</w:t>
      </w:r>
      <w:r>
        <w:t>A</w:t>
      </w:r>
      <w:r w:rsidR="00613EC8">
        <w:t xml:space="preserve"> with negligible activity towards double strands, </w:t>
      </w:r>
      <w:r>
        <w:t>other process</w:t>
      </w:r>
      <w:r w:rsidR="00613EC8">
        <w:t xml:space="preserve"> RN</w:t>
      </w:r>
      <w:r>
        <w:t>A</w:t>
      </w:r>
      <w:r w:rsidR="00613EC8">
        <w:t xml:space="preserve">, and </w:t>
      </w:r>
      <w:r w:rsidR="0084571A">
        <w:t>the</w:t>
      </w:r>
      <w:r w:rsidR="00613EC8">
        <w:t xml:space="preserve"> plant</w:t>
      </w:r>
      <w:r>
        <w:t xml:space="preserve"> enzymes have </w:t>
      </w:r>
      <w:r w:rsidR="00613EC8">
        <w:t>comparable activity towards all types of nucleic acids.</w:t>
      </w:r>
    </w:p>
    <w:p w14:paraId="7B871642" w14:textId="14A3A20C" w:rsidR="00613EC8" w:rsidRDefault="006B21F3" w:rsidP="00613EC8">
      <w:r>
        <w:t>Our studies of</w:t>
      </w:r>
      <w:r w:rsidR="00613EC8">
        <w:t xml:space="preserve"> S1-P1 nucleases from plants, fungus, and two bacterium species [2-5]</w:t>
      </w:r>
      <w:r>
        <w:t>, including cr</w:t>
      </w:r>
      <w:r w:rsidR="00613EC8">
        <w:t>ystal</w:t>
      </w:r>
      <w:r>
        <w:t xml:space="preserve"> structures</w:t>
      </w:r>
      <w:r w:rsidR="00613EC8">
        <w:t xml:space="preserve">, mutagenesis, numerous product/ligand complexes helped us better understand the structure-function questions, such as active site remodelling, sensitivity to metal replacement, </w:t>
      </w:r>
      <w:r w:rsidR="0039758D">
        <w:t xml:space="preserve">and </w:t>
      </w:r>
      <w:r w:rsidR="00613EC8">
        <w:t xml:space="preserve">key mobility elements in the active site. </w:t>
      </w:r>
      <w:r w:rsidR="0084571A">
        <w:t>Recently, w</w:t>
      </w:r>
      <w:r w:rsidR="00613EC8">
        <w:t>e have identified a “</w:t>
      </w:r>
      <w:proofErr w:type="spellStart"/>
      <w:r w:rsidR="00613EC8">
        <w:t>supernuclease</w:t>
      </w:r>
      <w:proofErr w:type="spellEnd"/>
      <w:r w:rsidR="00613EC8">
        <w:t xml:space="preserve">” </w:t>
      </w:r>
      <w:r w:rsidR="005512B6">
        <w:t xml:space="preserve">SmNuc1 from opportunistic pathogen </w:t>
      </w:r>
      <w:r w:rsidR="005512B6">
        <w:rPr>
          <w:i/>
          <w:iCs/>
        </w:rPr>
        <w:t xml:space="preserve">Stenotrophomonas </w:t>
      </w:r>
      <w:proofErr w:type="spellStart"/>
      <w:r w:rsidR="005512B6">
        <w:rPr>
          <w:i/>
          <w:iCs/>
        </w:rPr>
        <w:t>maltophilia</w:t>
      </w:r>
      <w:proofErr w:type="spellEnd"/>
      <w:r w:rsidR="005512B6">
        <w:rPr>
          <w:i/>
          <w:iCs/>
        </w:rPr>
        <w:t xml:space="preserve"> </w:t>
      </w:r>
      <w:r w:rsidR="00613EC8">
        <w:t xml:space="preserve">capable of previously unseen rates for this enzyme class, uncovered the key region for RNA/DNA preference, which </w:t>
      </w:r>
      <w:r w:rsidR="005512B6">
        <w:t>enables activity</w:t>
      </w:r>
      <w:r w:rsidR="00613EC8">
        <w:t xml:space="preserve"> optimization, and discovered its high activity towards cyclic-di-GMP, the bacterial second messenger [6]. </w:t>
      </w:r>
      <w:r w:rsidR="005512B6">
        <w:t>Our</w:t>
      </w:r>
      <w:r w:rsidR="00613EC8">
        <w:t xml:space="preserve"> crystall</w:t>
      </w:r>
      <w:r w:rsidR="005512B6">
        <w:t xml:space="preserve">ographic studies answered </w:t>
      </w:r>
      <w:r w:rsidR="00DF68AD">
        <w:t>key</w:t>
      </w:r>
      <w:r w:rsidR="005512B6">
        <w:t xml:space="preserve"> questions regarding non-specificity of S1-P1 nucleases and</w:t>
      </w:r>
      <w:r w:rsidR="00DF68AD">
        <w:t xml:space="preserve"> </w:t>
      </w:r>
      <w:r w:rsidR="00E12836">
        <w:t>brought</w:t>
      </w:r>
      <w:r w:rsidR="00DF68AD">
        <w:t xml:space="preserve"> </w:t>
      </w:r>
      <w:r w:rsidR="00E12836">
        <w:t>u</w:t>
      </w:r>
      <w:r w:rsidR="00DF68AD">
        <w:t xml:space="preserve">s closer </w:t>
      </w:r>
      <w:r w:rsidR="00E12836">
        <w:t>to understanding protonation details of the protein-nucleic acid interactions</w:t>
      </w:r>
      <w:r w:rsidR="00613EC8">
        <w:t>.</w:t>
      </w:r>
    </w:p>
    <w:p w14:paraId="086DED6C" w14:textId="77777777" w:rsidR="00613EC8" w:rsidRDefault="00613EC8" w:rsidP="00613EC8">
      <w:pPr>
        <w:pStyle w:val="ListParagraph"/>
        <w:numPr>
          <w:ilvl w:val="0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 xml:space="preserve">T. Koval, J. Dohnalek </w:t>
      </w:r>
      <w:proofErr w:type="spellStart"/>
      <w:r>
        <w:rPr>
          <w:i/>
          <w:sz w:val="20"/>
          <w:lang w:val="en-US"/>
        </w:rPr>
        <w:t>Biotechnol</w:t>
      </w:r>
      <w:proofErr w:type="spellEnd"/>
      <w:r>
        <w:rPr>
          <w:i/>
          <w:sz w:val="20"/>
          <w:lang w:val="en-US"/>
        </w:rPr>
        <w:t>. Adv.</w:t>
      </w:r>
      <w:r>
        <w:rPr>
          <w:sz w:val="20"/>
          <w:lang w:val="en-US"/>
        </w:rPr>
        <w:t xml:space="preserve"> (2017) </w:t>
      </w:r>
      <w:proofErr w:type="spellStart"/>
      <w:r>
        <w:rPr>
          <w:sz w:val="20"/>
          <w:lang w:val="en-US"/>
        </w:rPr>
        <w:t>Epub</w:t>
      </w:r>
      <w:proofErr w:type="spellEnd"/>
      <w:r>
        <w:rPr>
          <w:sz w:val="20"/>
          <w:lang w:val="en-US"/>
        </w:rPr>
        <w:t xml:space="preserve"> 2017 Dec 14, 10.1016/j.biotechadv.2017.12.007.</w:t>
      </w:r>
    </w:p>
    <w:p w14:paraId="7C39FD0E" w14:textId="77777777" w:rsidR="00613EC8" w:rsidRDefault="00613EC8" w:rsidP="00613EC8">
      <w:pPr>
        <w:pStyle w:val="ListParagraph"/>
        <w:numPr>
          <w:ilvl w:val="0"/>
          <w:numId w:val="1"/>
        </w:numPr>
        <w:spacing w:after="0" w:line="216" w:lineRule="auto"/>
        <w:rPr>
          <w:sz w:val="20"/>
          <w:lang w:val="en-US"/>
        </w:rPr>
      </w:pPr>
      <w:r>
        <w:rPr>
          <w:sz w:val="20"/>
          <w:lang w:val="en-US"/>
        </w:rPr>
        <w:t xml:space="preserve">T. </w:t>
      </w:r>
      <w:proofErr w:type="spellStart"/>
      <w:r>
        <w:rPr>
          <w:sz w:val="20"/>
          <w:lang w:val="en-US"/>
        </w:rPr>
        <w:t>Kovaľ</w:t>
      </w:r>
      <w:proofErr w:type="spellEnd"/>
      <w:r>
        <w:rPr>
          <w:sz w:val="20"/>
          <w:lang w:val="en-US"/>
        </w:rPr>
        <w:t xml:space="preserve"> T, L.H. Østergaard, J. Lehmbeck, </w:t>
      </w:r>
      <w:r>
        <w:rPr>
          <w:i/>
          <w:iCs/>
          <w:sz w:val="20"/>
          <w:lang w:val="en-US"/>
        </w:rPr>
        <w:t>et al.</w:t>
      </w:r>
      <w:r>
        <w:rPr>
          <w:sz w:val="20"/>
          <w:lang w:val="en-US"/>
        </w:rPr>
        <w:t xml:space="preserve"> </w:t>
      </w:r>
      <w:r>
        <w:rPr>
          <w:i/>
          <w:iCs/>
          <w:sz w:val="20"/>
          <w:lang w:val="en-US"/>
        </w:rPr>
        <w:t>PLOS One</w:t>
      </w:r>
      <w:r>
        <w:rPr>
          <w:sz w:val="20"/>
          <w:lang w:val="en-US"/>
        </w:rPr>
        <w:t xml:space="preserve"> 11, (2016), e0168832.</w:t>
      </w:r>
    </w:p>
    <w:p w14:paraId="57AE0476" w14:textId="77777777" w:rsidR="00613EC8" w:rsidRDefault="00613EC8" w:rsidP="00613EC8">
      <w:pPr>
        <w:pStyle w:val="ListParagraph"/>
        <w:numPr>
          <w:ilvl w:val="0"/>
          <w:numId w:val="1"/>
        </w:numPr>
        <w:spacing w:after="0" w:line="216" w:lineRule="auto"/>
        <w:rPr>
          <w:sz w:val="20"/>
          <w:lang w:val="en-US"/>
        </w:rPr>
      </w:pPr>
      <w:r>
        <w:rPr>
          <w:sz w:val="20"/>
          <w:lang w:val="en-US"/>
        </w:rPr>
        <w:t xml:space="preserve">M. </w:t>
      </w:r>
      <w:proofErr w:type="spellStart"/>
      <w:r>
        <w:rPr>
          <w:sz w:val="20"/>
          <w:lang w:val="en-US"/>
        </w:rPr>
        <w:t>Trundová</w:t>
      </w:r>
      <w:proofErr w:type="spellEnd"/>
      <w:r>
        <w:rPr>
          <w:sz w:val="20"/>
          <w:lang w:val="en-US"/>
        </w:rPr>
        <w:t xml:space="preserve">, T. </w:t>
      </w:r>
      <w:proofErr w:type="spellStart"/>
      <w:r>
        <w:rPr>
          <w:sz w:val="20"/>
          <w:lang w:val="en-US"/>
        </w:rPr>
        <w:t>Kovaľ</w:t>
      </w:r>
      <w:proofErr w:type="spellEnd"/>
      <w:r>
        <w:rPr>
          <w:sz w:val="20"/>
          <w:lang w:val="en-US"/>
        </w:rPr>
        <w:t xml:space="preserve">, R.J. Owens, </w:t>
      </w:r>
      <w:r>
        <w:rPr>
          <w:i/>
          <w:sz w:val="20"/>
          <w:lang w:val="en-US"/>
        </w:rPr>
        <w:t>et al.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Int J Biol </w:t>
      </w:r>
      <w:proofErr w:type="spellStart"/>
      <w:r>
        <w:rPr>
          <w:i/>
          <w:sz w:val="20"/>
          <w:lang w:val="en-US"/>
        </w:rPr>
        <w:t>Macromol</w:t>
      </w:r>
      <w:proofErr w:type="spellEnd"/>
      <w:r>
        <w:rPr>
          <w:sz w:val="20"/>
          <w:lang w:val="en-US"/>
        </w:rPr>
        <w:t xml:space="preserve"> </w:t>
      </w:r>
      <w:r>
        <w:rPr>
          <w:b/>
          <w:sz w:val="20"/>
          <w:lang w:val="en-US"/>
        </w:rPr>
        <w:t>114</w:t>
      </w:r>
      <w:r>
        <w:rPr>
          <w:sz w:val="20"/>
          <w:lang w:val="en-US"/>
        </w:rPr>
        <w:t>, (2018), 776.</w:t>
      </w:r>
    </w:p>
    <w:p w14:paraId="49EDFECE" w14:textId="77777777" w:rsidR="00613EC8" w:rsidRDefault="00613EC8" w:rsidP="00613EC8">
      <w:pPr>
        <w:pStyle w:val="ListParagraph"/>
        <w:numPr>
          <w:ilvl w:val="0"/>
          <w:numId w:val="1"/>
        </w:numPr>
        <w:spacing w:after="0" w:line="216" w:lineRule="auto"/>
        <w:rPr>
          <w:sz w:val="20"/>
          <w:lang w:val="en-US"/>
        </w:rPr>
      </w:pPr>
      <w:r>
        <w:rPr>
          <w:sz w:val="20"/>
          <w:lang w:val="en-US"/>
        </w:rPr>
        <w:t xml:space="preserve">K. Adámková, T. Koval', L.H. Østergaard, </w:t>
      </w:r>
      <w:r>
        <w:rPr>
          <w:i/>
          <w:sz w:val="20"/>
          <w:lang w:val="en-US"/>
        </w:rPr>
        <w:t>et al.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Acta </w:t>
      </w:r>
      <w:proofErr w:type="spellStart"/>
      <w:r>
        <w:rPr>
          <w:i/>
          <w:sz w:val="20"/>
          <w:lang w:val="en-US"/>
        </w:rPr>
        <w:t>Crystallogr</w:t>
      </w:r>
      <w:proofErr w:type="spellEnd"/>
      <w:r>
        <w:rPr>
          <w:i/>
          <w:sz w:val="20"/>
          <w:lang w:val="en-US"/>
        </w:rPr>
        <w:t xml:space="preserve"> D</w:t>
      </w:r>
      <w:r>
        <w:rPr>
          <w:b/>
          <w:sz w:val="20"/>
          <w:lang w:val="en-US"/>
        </w:rPr>
        <w:t xml:space="preserve">78, </w:t>
      </w:r>
      <w:r>
        <w:rPr>
          <w:sz w:val="20"/>
          <w:lang w:val="en-US"/>
        </w:rPr>
        <w:t>(2022), 1194.</w:t>
      </w:r>
    </w:p>
    <w:p w14:paraId="4A54F9CE" w14:textId="77777777" w:rsidR="00613EC8" w:rsidRDefault="00613EC8" w:rsidP="00613EC8">
      <w:pPr>
        <w:pStyle w:val="ListParagraph"/>
        <w:numPr>
          <w:ilvl w:val="0"/>
          <w:numId w:val="1"/>
        </w:numPr>
        <w:spacing w:after="0" w:line="216" w:lineRule="auto"/>
        <w:rPr>
          <w:color w:val="212121"/>
          <w:sz w:val="20"/>
          <w:highlight w:val="white"/>
          <w:lang w:val="en-US"/>
        </w:rPr>
      </w:pPr>
      <w:r>
        <w:rPr>
          <w:color w:val="212121"/>
          <w:sz w:val="20"/>
          <w:highlight w:val="white"/>
          <w:lang w:val="en-US"/>
        </w:rPr>
        <w:t xml:space="preserve">B. </w:t>
      </w:r>
      <w:proofErr w:type="spellStart"/>
      <w:r>
        <w:rPr>
          <w:color w:val="212121"/>
          <w:sz w:val="20"/>
          <w:highlight w:val="white"/>
          <w:lang w:val="en-US"/>
        </w:rPr>
        <w:t>Husťáková</w:t>
      </w:r>
      <w:proofErr w:type="spellEnd"/>
      <w:r>
        <w:rPr>
          <w:color w:val="212121"/>
          <w:sz w:val="20"/>
          <w:highlight w:val="white"/>
          <w:lang w:val="en-US"/>
        </w:rPr>
        <w:t xml:space="preserve">, M. </w:t>
      </w:r>
      <w:proofErr w:type="spellStart"/>
      <w:r>
        <w:rPr>
          <w:color w:val="212121"/>
          <w:sz w:val="20"/>
          <w:highlight w:val="white"/>
          <w:lang w:val="en-US"/>
        </w:rPr>
        <w:t>Trundová</w:t>
      </w:r>
      <w:proofErr w:type="spellEnd"/>
      <w:r>
        <w:rPr>
          <w:color w:val="212121"/>
          <w:sz w:val="20"/>
          <w:highlight w:val="white"/>
          <w:lang w:val="en-US"/>
        </w:rPr>
        <w:t xml:space="preserve">, K. Adámková, et al. </w:t>
      </w:r>
      <w:r>
        <w:rPr>
          <w:i/>
          <w:color w:val="212121"/>
          <w:sz w:val="20"/>
          <w:highlight w:val="white"/>
          <w:lang w:val="en-US"/>
        </w:rPr>
        <w:t xml:space="preserve">FEBS Lett </w:t>
      </w:r>
      <w:r>
        <w:rPr>
          <w:b/>
          <w:color w:val="212121"/>
          <w:sz w:val="20"/>
          <w:highlight w:val="white"/>
          <w:lang w:val="en-US"/>
        </w:rPr>
        <w:t>597</w:t>
      </w:r>
      <w:r>
        <w:rPr>
          <w:color w:val="212121"/>
          <w:sz w:val="20"/>
          <w:highlight w:val="white"/>
          <w:lang w:val="en-US"/>
        </w:rPr>
        <w:t>, (2023), 2103.</w:t>
      </w:r>
    </w:p>
    <w:p w14:paraId="39002CED" w14:textId="77777777" w:rsidR="00613EC8" w:rsidRDefault="00613EC8" w:rsidP="00613EC8">
      <w:pPr>
        <w:pStyle w:val="ListParagraph"/>
        <w:numPr>
          <w:ilvl w:val="0"/>
          <w:numId w:val="1"/>
        </w:numPr>
        <w:spacing w:after="0" w:line="216" w:lineRule="auto"/>
        <w:rPr>
          <w:color w:val="212121"/>
          <w:sz w:val="20"/>
          <w:highlight w:val="white"/>
          <w:lang w:val="en-US"/>
        </w:rPr>
      </w:pPr>
      <w:r>
        <w:rPr>
          <w:color w:val="212121"/>
          <w:sz w:val="20"/>
          <w:highlight w:val="white"/>
          <w:lang w:val="en-US"/>
        </w:rPr>
        <w:t xml:space="preserve">K. Adámková, M. </w:t>
      </w:r>
      <w:proofErr w:type="spellStart"/>
      <w:r>
        <w:rPr>
          <w:color w:val="212121"/>
          <w:sz w:val="20"/>
          <w:highlight w:val="white"/>
          <w:lang w:val="en-US"/>
        </w:rPr>
        <w:t>Trundová</w:t>
      </w:r>
      <w:proofErr w:type="spellEnd"/>
      <w:r>
        <w:rPr>
          <w:color w:val="212121"/>
          <w:sz w:val="20"/>
          <w:highlight w:val="white"/>
          <w:lang w:val="en-US"/>
        </w:rPr>
        <w:t xml:space="preserve">, T. </w:t>
      </w:r>
      <w:proofErr w:type="spellStart"/>
      <w:r>
        <w:rPr>
          <w:color w:val="212121"/>
          <w:sz w:val="20"/>
          <w:highlight w:val="white"/>
          <w:lang w:val="en-US"/>
        </w:rPr>
        <w:t>Kovaľ</w:t>
      </w:r>
      <w:proofErr w:type="spellEnd"/>
      <w:r>
        <w:rPr>
          <w:color w:val="212121"/>
          <w:sz w:val="20"/>
          <w:highlight w:val="white"/>
          <w:lang w:val="en-US"/>
        </w:rPr>
        <w:t xml:space="preserve">, B. </w:t>
      </w:r>
      <w:proofErr w:type="spellStart"/>
      <w:r>
        <w:rPr>
          <w:color w:val="212121"/>
          <w:sz w:val="20"/>
          <w:highlight w:val="white"/>
          <w:lang w:val="en-US"/>
        </w:rPr>
        <w:t>Husťáková</w:t>
      </w:r>
      <w:proofErr w:type="spellEnd"/>
      <w:r>
        <w:rPr>
          <w:color w:val="212121"/>
          <w:sz w:val="20"/>
          <w:highlight w:val="white"/>
          <w:lang w:val="en-US"/>
        </w:rPr>
        <w:t xml:space="preserve">, </w:t>
      </w:r>
      <w:r>
        <w:rPr>
          <w:i/>
          <w:iCs/>
          <w:color w:val="212121"/>
          <w:sz w:val="20"/>
          <w:highlight w:val="white"/>
          <w:lang w:val="en-US"/>
        </w:rPr>
        <w:t>et al.</w:t>
      </w:r>
      <w:r>
        <w:rPr>
          <w:color w:val="212121"/>
          <w:sz w:val="20"/>
          <w:highlight w:val="white"/>
          <w:lang w:val="en-US"/>
        </w:rPr>
        <w:t xml:space="preserve"> </w:t>
      </w:r>
      <w:r>
        <w:rPr>
          <w:i/>
          <w:iCs/>
          <w:color w:val="212121"/>
          <w:sz w:val="20"/>
          <w:highlight w:val="white"/>
          <w:lang w:val="en-US"/>
        </w:rPr>
        <w:t>FEBS J.</w:t>
      </w:r>
      <w:r>
        <w:rPr>
          <w:color w:val="212121"/>
          <w:sz w:val="20"/>
          <w:highlight w:val="white"/>
          <w:lang w:val="en-US"/>
        </w:rPr>
        <w:t xml:space="preserve">, </w:t>
      </w:r>
      <w:r>
        <w:rPr>
          <w:b/>
          <w:bCs/>
          <w:color w:val="212121"/>
          <w:sz w:val="20"/>
          <w:highlight w:val="white"/>
          <w:lang w:val="en-US"/>
        </w:rPr>
        <w:t>292</w:t>
      </w:r>
      <w:r>
        <w:rPr>
          <w:color w:val="212121"/>
          <w:sz w:val="20"/>
          <w:highlight w:val="white"/>
          <w:lang w:val="en-US"/>
        </w:rPr>
        <w:t>, (2025), 129.</w:t>
      </w:r>
    </w:p>
    <w:p w14:paraId="56C858D0" w14:textId="77777777" w:rsidR="00613EC8" w:rsidRDefault="00613EC8" w:rsidP="00613EC8">
      <w:pPr>
        <w:spacing w:after="0" w:line="216" w:lineRule="auto"/>
        <w:ind w:hanging="90"/>
        <w:rPr>
          <w:rFonts w:asciiTheme="minorHAnsi" w:hAnsiTheme="minorHAnsi" w:cstheme="minorHAnsi"/>
          <w:color w:val="212121"/>
          <w:sz w:val="21"/>
          <w:szCs w:val="21"/>
          <w:highlight w:val="white"/>
          <w:lang w:val="en-US"/>
        </w:rPr>
      </w:pPr>
    </w:p>
    <w:p w14:paraId="5F03FFCC" w14:textId="77777777" w:rsidR="00613EC8" w:rsidRDefault="00613EC8" w:rsidP="00613EC8">
      <w:pPr>
        <w:pStyle w:val="Acknowledgement"/>
        <w:rPr>
          <w:lang w:eastAsia="cs-CZ"/>
        </w:rPr>
      </w:pPr>
      <w:r>
        <w:rPr>
          <w:lang w:eastAsia="cs-CZ"/>
        </w:rPr>
        <w:t xml:space="preserve">This work was supported by the Czech Science Foundation (25-17546S), and by the Czech Academy of Sciences (86652036). </w:t>
      </w:r>
      <w:r>
        <w:rPr>
          <w:iCs/>
          <w:lang w:eastAsia="cs-CZ"/>
        </w:rPr>
        <w:t>CIISB, Instruct-CZ Centre of Instruct-ERIC EU consortium, funded by MEYS CR infrastructure project LM2023042 and European Regional Development Fund-Project No. CZ.02.01.01/00/23_015/0008175 is acknowledged for providing access to all facilities at CMS in BIOCEV for this project.</w:t>
      </w:r>
    </w:p>
    <w:p w14:paraId="377925F4" w14:textId="77777777" w:rsidR="00613EC8" w:rsidRDefault="00613EC8"/>
    <w:p w14:paraId="3DB1CA3F" w14:textId="77777777" w:rsidR="00613EC8" w:rsidRDefault="00613EC8"/>
    <w:p w14:paraId="68A8AD19" w14:textId="22F09770" w:rsidR="00613EC8" w:rsidRDefault="00613EC8">
      <w:pPr>
        <w:spacing w:after="0"/>
        <w:jc w:val="left"/>
      </w:pPr>
    </w:p>
    <w:sectPr w:rsidR="00613EC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4A84" w14:textId="77777777" w:rsidR="00AB3B4F" w:rsidRDefault="00AB3B4F">
      <w:pPr>
        <w:spacing w:after="0"/>
      </w:pPr>
      <w:r>
        <w:separator/>
      </w:r>
    </w:p>
  </w:endnote>
  <w:endnote w:type="continuationSeparator" w:id="0">
    <w:p w14:paraId="65036DA7" w14:textId="77777777" w:rsidR="00AB3B4F" w:rsidRDefault="00AB3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angal"/>
    <w:charset w:val="00"/>
    <w:family w:val="swiss"/>
    <w:pitch w:val="variable"/>
    <w:sig w:usb0="8000802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9900" w14:textId="77777777" w:rsidR="002E20E3" w:rsidRDefault="00095DA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D466BF4" w14:textId="77777777" w:rsidR="002E20E3" w:rsidRDefault="002E20E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7380" w14:textId="77777777" w:rsidR="00AB3B4F" w:rsidRDefault="00AB3B4F">
      <w:pPr>
        <w:spacing w:after="0"/>
      </w:pPr>
      <w:r>
        <w:separator/>
      </w:r>
    </w:p>
  </w:footnote>
  <w:footnote w:type="continuationSeparator" w:id="0">
    <w:p w14:paraId="0426306C" w14:textId="77777777" w:rsidR="00AB3B4F" w:rsidRDefault="00AB3B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2424" w14:textId="30417551" w:rsidR="002E20E3" w:rsidRDefault="00095DA2">
    <w:pPr>
      <w:tabs>
        <w:tab w:val="center" w:pos="4703"/>
        <w:tab w:val="right" w:pos="9406"/>
      </w:tabs>
    </w:pPr>
    <w:r>
      <w:rPr>
        <w:b/>
        <w:bCs/>
      </w:rPr>
      <w:t>MS</w:t>
    </w:r>
    <w:r w:rsidR="001977AC">
      <w:rPr>
        <w:b/>
        <w:bCs/>
      </w:rPr>
      <w:t xml:space="preserve"> 1</w:t>
    </w:r>
    <w:r>
      <w:tab/>
    </w:r>
    <w:r w:rsidR="001977AC">
      <w:rPr>
        <w:b/>
        <w:bCs/>
      </w:rPr>
      <w:t>Nucleic acids, proteins – structures, interactions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70FF"/>
    <w:multiLevelType w:val="multilevel"/>
    <w:tmpl w:val="4D46DF6C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906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0E3"/>
    <w:rsid w:val="00066445"/>
    <w:rsid w:val="00095DA2"/>
    <w:rsid w:val="001977AC"/>
    <w:rsid w:val="001D0941"/>
    <w:rsid w:val="002E20E3"/>
    <w:rsid w:val="0039758D"/>
    <w:rsid w:val="0042060B"/>
    <w:rsid w:val="004E2D2F"/>
    <w:rsid w:val="00521C1A"/>
    <w:rsid w:val="005512B6"/>
    <w:rsid w:val="00613EC8"/>
    <w:rsid w:val="006A3525"/>
    <w:rsid w:val="006B21F3"/>
    <w:rsid w:val="006F0EC2"/>
    <w:rsid w:val="006F673C"/>
    <w:rsid w:val="007452FB"/>
    <w:rsid w:val="008301BD"/>
    <w:rsid w:val="0084571A"/>
    <w:rsid w:val="008E61DD"/>
    <w:rsid w:val="0099633F"/>
    <w:rsid w:val="00AB3B4F"/>
    <w:rsid w:val="00C234EA"/>
    <w:rsid w:val="00C33D9D"/>
    <w:rsid w:val="00D62880"/>
    <w:rsid w:val="00D7598B"/>
    <w:rsid w:val="00DB7C15"/>
    <w:rsid w:val="00DF68AD"/>
    <w:rsid w:val="00E12836"/>
    <w:rsid w:val="00E84A39"/>
    <w:rsid w:val="00EA6A07"/>
    <w:rsid w:val="00F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E58D"/>
  <w15:docId w15:val="{2199843E-697A-47E4-8388-789AE20C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EC8"/>
    <w:pPr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0A536-6E5F-4722-9858-9AA3417B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Jan Dohnalek</cp:lastModifiedBy>
  <cp:revision>18</cp:revision>
  <dcterms:created xsi:type="dcterms:W3CDTF">2025-04-28T09:54:00Z</dcterms:created>
  <dcterms:modified xsi:type="dcterms:W3CDTF">2025-04-30T06:40:00Z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