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9F6A2" w14:textId="568AFDBA" w:rsidR="009A7044" w:rsidRPr="004B672A" w:rsidRDefault="004B672A" w:rsidP="004B672A">
      <w:pPr>
        <w:pStyle w:val="Heading1"/>
        <w:rPr>
          <w:lang w:val="en-CH"/>
        </w:rPr>
      </w:pPr>
      <w:r w:rsidRPr="004B672A">
        <w:rPr>
          <w:lang w:val="en-CH"/>
        </w:rPr>
        <w:t xml:space="preserve">Uncovering Stacking Disorder in the Weyl Semimetal </w:t>
      </w:r>
      <w:proofErr w:type="spellStart"/>
      <w:r w:rsidRPr="004B672A">
        <w:rPr>
          <w:lang w:val="en-CH"/>
        </w:rPr>
        <w:t>TaRhTe</w:t>
      </w:r>
      <w:proofErr w:type="spellEnd"/>
      <w:r w:rsidRPr="004B672A">
        <w:rPr>
          <w:rFonts w:ascii="Cambria Math" w:hAnsi="Cambria Math" w:cs="Cambria Math"/>
          <w:lang w:val="en-CH"/>
        </w:rPr>
        <w:t>₄</w:t>
      </w:r>
      <w:r w:rsidR="00A011B0">
        <w:t xml:space="preserve"> </w:t>
      </w:r>
    </w:p>
    <w:p w14:paraId="48D78B0E" w14:textId="39334A55" w:rsidR="009A7044" w:rsidRPr="00A011B0" w:rsidRDefault="00000000">
      <w:pPr>
        <w:pStyle w:val="Heading2"/>
        <w:rPr>
          <w:vertAlign w:val="superscript"/>
          <w:lang w:val="de-AT"/>
        </w:rPr>
      </w:pPr>
      <w:r w:rsidRPr="00D37778">
        <w:rPr>
          <w:u w:val="single"/>
          <w:lang w:val="de-AT"/>
        </w:rPr>
        <w:t xml:space="preserve">F. </w:t>
      </w:r>
      <w:r w:rsidR="00A011B0" w:rsidRPr="00D37778">
        <w:rPr>
          <w:u w:val="single"/>
          <w:lang w:val="de-AT"/>
        </w:rPr>
        <w:t>Eder</w:t>
      </w:r>
      <w:r w:rsidRPr="00D37778">
        <w:rPr>
          <w:vertAlign w:val="superscript"/>
          <w:lang w:val="de-AT"/>
        </w:rPr>
        <w:t>1</w:t>
      </w:r>
      <w:r w:rsidRPr="00A011B0">
        <w:rPr>
          <w:lang w:val="de-AT"/>
        </w:rPr>
        <w:t xml:space="preserve">, </w:t>
      </w:r>
      <w:r w:rsidR="00A011B0" w:rsidRPr="00A011B0">
        <w:rPr>
          <w:lang w:val="de-AT"/>
        </w:rPr>
        <w:t>B. St</w:t>
      </w:r>
      <w:r w:rsidR="00A011B0" w:rsidRPr="00A011B0">
        <w:rPr>
          <w:rFonts w:ascii="Aptos Display" w:hAnsi="Aptos Display"/>
          <w:lang w:val="de-AT"/>
        </w:rPr>
        <w:t>ö</w:t>
      </w:r>
      <w:r w:rsidR="00A011B0" w:rsidRPr="00A011B0">
        <w:rPr>
          <w:lang w:val="de-AT"/>
        </w:rPr>
        <w:t>ger</w:t>
      </w:r>
      <w:r w:rsidR="00A011B0">
        <w:rPr>
          <w:vertAlign w:val="superscript"/>
          <w:lang w:val="de-AT"/>
        </w:rPr>
        <w:t>2</w:t>
      </w:r>
      <w:r w:rsidR="00A011B0" w:rsidRPr="00A011B0">
        <w:rPr>
          <w:lang w:val="de-AT"/>
        </w:rPr>
        <w:t>, E. Giannini</w:t>
      </w:r>
      <w:r w:rsidR="00A011B0">
        <w:rPr>
          <w:vertAlign w:val="superscript"/>
          <w:lang w:val="de-AT"/>
        </w:rPr>
        <w:t>1</w:t>
      </w:r>
      <w:r w:rsidR="00A011B0" w:rsidRPr="00A011B0">
        <w:rPr>
          <w:lang w:val="de-AT"/>
        </w:rPr>
        <w:t>, F. O. von Rohr</w:t>
      </w:r>
      <w:r w:rsidR="00A011B0">
        <w:rPr>
          <w:vertAlign w:val="superscript"/>
          <w:lang w:val="de-AT"/>
        </w:rPr>
        <w:t>1</w:t>
      </w:r>
    </w:p>
    <w:p w14:paraId="0FFE68A3" w14:textId="31DE36BC" w:rsidR="009A7044" w:rsidRDefault="00000000">
      <w:pPr>
        <w:pStyle w:val="Heading3"/>
      </w:pPr>
      <w:r>
        <w:rPr>
          <w:vertAlign w:val="superscript"/>
        </w:rPr>
        <w:t>1</w:t>
      </w:r>
      <w:r w:rsidR="00A011B0" w:rsidRPr="00A011B0">
        <w:rPr>
          <w:iCs/>
        </w:rPr>
        <w:t xml:space="preserve"> </w:t>
      </w:r>
      <w:r w:rsidR="00A011B0">
        <w:rPr>
          <w:iCs/>
        </w:rPr>
        <w:t>University of Geneva, Department of Quantum Matter Physics, Quai Ernest-Ansermet 24, 1211 Geneva, Switzerland</w:t>
      </w:r>
      <w:r>
        <w:t xml:space="preserve">, </w:t>
      </w:r>
      <w:r>
        <w:rPr>
          <w:vertAlign w:val="superscript"/>
        </w:rPr>
        <w:t>2</w:t>
      </w:r>
      <w:r w:rsidR="00A011B0">
        <w:t xml:space="preserve">Technical University of Vienna, X-ray Centre, </w:t>
      </w:r>
      <w:proofErr w:type="spellStart"/>
      <w:r w:rsidR="00A011B0">
        <w:t>Getreidemarkt</w:t>
      </w:r>
      <w:proofErr w:type="spellEnd"/>
      <w:r w:rsidR="00A011B0">
        <w:t xml:space="preserve"> 9, 1060 Vienna, Austria</w:t>
      </w:r>
    </w:p>
    <w:p w14:paraId="2E00F2CF" w14:textId="7B5CE51B" w:rsidR="009A7044" w:rsidRDefault="00A011B0">
      <w:pPr>
        <w:pStyle w:val="Heading3"/>
        <w:rPr>
          <w:sz w:val="18"/>
          <w:szCs w:val="18"/>
        </w:rPr>
      </w:pPr>
      <w:r>
        <w:t>felix.eder@unige.ch</w:t>
      </w:r>
      <w:r>
        <w:rPr>
          <w:lang w:eastAsia="de-DE"/>
        </w:rPr>
        <w:br/>
      </w:r>
    </w:p>
    <w:p w14:paraId="36C2E56E" w14:textId="635F32EC" w:rsidR="007C7218" w:rsidRDefault="007C7218" w:rsidP="007C7218">
      <w:pPr>
        <w:rPr>
          <w:lang w:val="en-CH"/>
        </w:rPr>
      </w:pPr>
      <w:r w:rsidRPr="007C7218">
        <w:rPr>
          <w:lang w:val="en-CH"/>
        </w:rPr>
        <w:t>Topological van</w:t>
      </w:r>
      <w:r>
        <w:rPr>
          <w:lang w:val="en-CH"/>
        </w:rPr>
        <w:t>-</w:t>
      </w:r>
      <w:r w:rsidRPr="007C7218">
        <w:rPr>
          <w:lang w:val="en-CH"/>
        </w:rPr>
        <w:t>der</w:t>
      </w:r>
      <w:r>
        <w:rPr>
          <w:lang w:val="en-CH"/>
        </w:rPr>
        <w:t>-</w:t>
      </w:r>
      <w:r w:rsidRPr="007C7218">
        <w:rPr>
          <w:lang w:val="en-CH"/>
        </w:rPr>
        <w:t xml:space="preserve">Waals materials like </w:t>
      </w:r>
      <w:proofErr w:type="spellStart"/>
      <w:r w:rsidRPr="007C7218">
        <w:rPr>
          <w:lang w:val="en-CH"/>
        </w:rPr>
        <w:t>TaIrTe</w:t>
      </w:r>
      <w:proofErr w:type="spellEnd"/>
      <w:r w:rsidRPr="007C7218">
        <w:rPr>
          <w:lang w:val="en-CH"/>
        </w:rPr>
        <w:t xml:space="preserve">₄ are of growing interest for their exotic electronic properties and exfoliable structures. </w:t>
      </w:r>
      <w:r>
        <w:rPr>
          <w:lang w:val="en-US"/>
        </w:rPr>
        <w:t>The related TaRhTe</w:t>
      </w:r>
      <w:r>
        <w:rPr>
          <w:vertAlign w:val="subscript"/>
          <w:lang w:val="en-US"/>
        </w:rPr>
        <w:t>4</w:t>
      </w:r>
      <w:r>
        <w:rPr>
          <w:lang w:val="en-US"/>
        </w:rPr>
        <w:t xml:space="preserve"> has been identified as isotypic to the </w:t>
      </w:r>
      <w:proofErr w:type="spellStart"/>
      <w:r>
        <w:rPr>
          <w:lang w:val="en-US"/>
        </w:rPr>
        <w:t>Ir</w:t>
      </w:r>
      <w:proofErr w:type="spellEnd"/>
      <w:r>
        <w:rPr>
          <w:lang w:val="en-US"/>
        </w:rPr>
        <w:t xml:space="preserve"> variant </w:t>
      </w:r>
      <w:r w:rsidRPr="005C4522">
        <w:rPr>
          <w:lang w:val="en-US"/>
        </w:rPr>
        <w:t>[1]</w:t>
      </w:r>
      <w:r>
        <w:rPr>
          <w:lang w:val="en-US"/>
        </w:rPr>
        <w:t>, but no structural determination on single crystals has been published so far. Both phases were synthesized in a Te self-flux synthesis [2], in which the educts are heated in an excess of Te to 1000</w:t>
      </w:r>
      <w:r w:rsidR="00F474EF">
        <w:rPr>
          <w:lang w:val="en-US"/>
        </w:rPr>
        <w:t xml:space="preserve"> </w:t>
      </w:r>
      <w:r>
        <w:rPr>
          <w:lang w:val="en-US"/>
        </w:rPr>
        <w:t xml:space="preserve">°C, slowly cooled to the quenching temperature </w:t>
      </w:r>
      <w:r>
        <w:rPr>
          <w:i/>
          <w:iCs/>
          <w:lang w:val="en-US"/>
        </w:rPr>
        <w:t>T</w:t>
      </w:r>
      <w:r>
        <w:rPr>
          <w:lang w:val="en-US"/>
        </w:rPr>
        <w:t xml:space="preserve"> (600–750 °C), and then quenched by hot-centrifugation to remove excess Te-flux.</w:t>
      </w:r>
    </w:p>
    <w:p w14:paraId="149AC921" w14:textId="6BCBF44E" w:rsidR="00CE193A" w:rsidRPr="000026FA" w:rsidRDefault="00F474EF">
      <w:r>
        <w:t>S</w:t>
      </w:r>
      <w:r w:rsidR="005C4522">
        <w:rPr>
          <w:lang w:val="en-US"/>
        </w:rPr>
        <w:t>ingle crystal X-ray diffraction (SXRD)</w:t>
      </w:r>
      <w:r>
        <w:rPr>
          <w:lang w:val="en-US"/>
        </w:rPr>
        <w:t xml:space="preserve"> patterns of</w:t>
      </w:r>
      <w:r>
        <w:t xml:space="preserve"> </w:t>
      </w:r>
      <w:r>
        <w:rPr>
          <w:lang w:val="en-US"/>
        </w:rPr>
        <w:t>TaRhTe</w:t>
      </w:r>
      <w:r>
        <w:rPr>
          <w:vertAlign w:val="subscript"/>
          <w:lang w:val="en-US"/>
        </w:rPr>
        <w:t>4</w:t>
      </w:r>
      <w:r>
        <w:rPr>
          <w:lang w:val="en-US"/>
        </w:rPr>
        <w:t xml:space="preserve"> crystals</w:t>
      </w:r>
      <w:r w:rsidR="005C4522">
        <w:rPr>
          <w:lang w:val="en-US"/>
        </w:rPr>
        <w:t>,</w:t>
      </w:r>
      <w:r>
        <w:rPr>
          <w:lang w:val="en-US"/>
        </w:rPr>
        <w:t xml:space="preserve"> exhibit</w:t>
      </w:r>
      <w:r w:rsidR="005C4522">
        <w:rPr>
          <w:lang w:val="en-US"/>
        </w:rPr>
        <w:t xml:space="preserve"> </w:t>
      </w:r>
      <w:r w:rsidR="00A47FF2">
        <w:rPr>
          <w:lang w:val="en-US"/>
        </w:rPr>
        <w:t xml:space="preserve">a different unit-cell compared to previous reports, </w:t>
      </w:r>
      <w:r>
        <w:rPr>
          <w:lang w:val="en-US"/>
        </w:rPr>
        <w:t>accompanied</w:t>
      </w:r>
      <w:r w:rsidR="005C4522">
        <w:rPr>
          <w:lang w:val="en-US"/>
        </w:rPr>
        <w:t xml:space="preserve"> by diffuse streaks along the </w:t>
      </w:r>
      <w:r w:rsidR="005C4522">
        <w:rPr>
          <w:b/>
          <w:bCs/>
          <w:lang w:val="en-US"/>
        </w:rPr>
        <w:t>c*</w:t>
      </w:r>
      <w:r w:rsidR="005C4522">
        <w:rPr>
          <w:lang w:val="en-US"/>
        </w:rPr>
        <w:t xml:space="preserve"> direction</w:t>
      </w:r>
      <w:r w:rsidR="000026FA">
        <w:rPr>
          <w:lang w:val="en-US"/>
        </w:rPr>
        <w:t xml:space="preserve"> (Fig. 1 (a))</w:t>
      </w:r>
      <w:r w:rsidR="005C4522">
        <w:rPr>
          <w:lang w:val="en-US"/>
        </w:rPr>
        <w:t>. These can be rationalized by stacking disorder and application of OD-theory [3]</w:t>
      </w:r>
      <w:r w:rsidR="000026FA">
        <w:rPr>
          <w:lang w:val="en-US"/>
        </w:rPr>
        <w:t>.</w:t>
      </w:r>
      <w:r w:rsidR="005C4522">
        <w:rPr>
          <w:lang w:val="en-US"/>
        </w:rPr>
        <w:t xml:space="preserve"> </w:t>
      </w:r>
      <w:r w:rsidR="006A39B6">
        <w:rPr>
          <w:lang w:val="en-US"/>
        </w:rPr>
        <w:t xml:space="preserve">The crystal structure is formed by one non-polar layer type </w:t>
      </w:r>
      <w:r w:rsidR="006A39B6">
        <w:rPr>
          <w:i/>
          <w:iCs/>
          <w:lang w:val="en-US"/>
        </w:rPr>
        <w:t>A</w:t>
      </w:r>
      <w:r w:rsidR="006A39B6">
        <w:rPr>
          <w:lang w:val="en-US"/>
        </w:rPr>
        <w:t xml:space="preserve">, which has </w:t>
      </w:r>
      <w:r w:rsidR="00852B1D">
        <w:rPr>
          <w:i/>
          <w:iCs/>
          <w:lang w:val="en-US"/>
        </w:rPr>
        <w:t>P</w:t>
      </w:r>
      <w:r w:rsidR="00852B1D">
        <w:rPr>
          <w:lang w:val="en-US"/>
        </w:rPr>
        <w:t>12</w:t>
      </w:r>
      <w:r w:rsidR="00852B1D">
        <w:rPr>
          <w:vertAlign w:val="subscript"/>
          <w:lang w:val="en-US"/>
        </w:rPr>
        <w:t>1</w:t>
      </w:r>
      <w:r w:rsidR="00852B1D">
        <w:rPr>
          <w:lang w:val="en-US"/>
        </w:rPr>
        <w:t>/</w:t>
      </w:r>
      <w:proofErr w:type="gramStart"/>
      <w:r w:rsidR="00852B1D">
        <w:rPr>
          <w:i/>
          <w:iCs/>
          <w:lang w:val="en-US"/>
        </w:rPr>
        <w:t>m</w:t>
      </w:r>
      <w:r w:rsidR="00852B1D">
        <w:rPr>
          <w:lang w:val="en-US"/>
        </w:rPr>
        <w:t>(</w:t>
      </w:r>
      <w:proofErr w:type="gramEnd"/>
      <w:r w:rsidR="00852B1D">
        <w:rPr>
          <w:lang w:val="en-US"/>
        </w:rPr>
        <w:t>1) symmetry</w:t>
      </w:r>
      <w:r w:rsidR="000026FA">
        <w:rPr>
          <w:lang w:val="en-US"/>
        </w:rPr>
        <w:t xml:space="preserve"> (Fig. 1(b))</w:t>
      </w:r>
      <w:r w:rsidR="00852B1D">
        <w:rPr>
          <w:lang w:val="en-US"/>
        </w:rPr>
        <w:t xml:space="preserve">. Neighboring layers are mirrored by </w:t>
      </w:r>
      <w:proofErr w:type="gramStart"/>
      <w:r w:rsidR="00852B1D">
        <w:rPr>
          <w:i/>
          <w:iCs/>
          <w:lang w:val="en-US"/>
        </w:rPr>
        <w:t>m</w:t>
      </w:r>
      <w:r w:rsidR="004B672A">
        <w:rPr>
          <w:vertAlign w:val="subscript"/>
          <w:lang w:val="en-US"/>
        </w:rPr>
        <w:t>[</w:t>
      </w:r>
      <w:proofErr w:type="gramEnd"/>
      <w:r w:rsidR="00852B1D">
        <w:rPr>
          <w:vertAlign w:val="subscript"/>
          <w:lang w:val="en-US"/>
        </w:rPr>
        <w:t>100</w:t>
      </w:r>
      <w:r w:rsidR="004B672A">
        <w:rPr>
          <w:vertAlign w:val="subscript"/>
          <w:lang w:val="en-US"/>
        </w:rPr>
        <w:t>]</w:t>
      </w:r>
      <w:r w:rsidR="00852B1D">
        <w:rPr>
          <w:lang w:val="en-US"/>
        </w:rPr>
        <w:t xml:space="preserve"> and shifted by either 0.214</w:t>
      </w:r>
      <w:r w:rsidR="00852B1D">
        <w:rPr>
          <w:b/>
          <w:bCs/>
          <w:lang w:val="en-US"/>
        </w:rPr>
        <w:t>a</w:t>
      </w:r>
      <w:r w:rsidR="005C4522">
        <w:rPr>
          <w:lang w:val="en-US"/>
        </w:rPr>
        <w:t xml:space="preserve"> </w:t>
      </w:r>
      <w:r w:rsidR="00852B1D">
        <w:rPr>
          <w:lang w:val="en-US"/>
        </w:rPr>
        <w:t>+ 0.5</w:t>
      </w:r>
      <w:r w:rsidR="00852B1D">
        <w:rPr>
          <w:b/>
          <w:bCs/>
          <w:lang w:val="en-US"/>
        </w:rPr>
        <w:t>b</w:t>
      </w:r>
      <w:r w:rsidR="00852B1D">
        <w:rPr>
          <w:lang w:val="en-US"/>
        </w:rPr>
        <w:t xml:space="preserve"> (</w:t>
      </w:r>
      <w:r w:rsidR="00852B1D">
        <w:rPr>
          <w:i/>
          <w:iCs/>
          <w:lang w:val="en-US"/>
        </w:rPr>
        <w:t>A</w:t>
      </w:r>
      <w:r w:rsidR="00852B1D">
        <w:rPr>
          <w:vertAlign w:val="superscript"/>
          <w:lang w:val="en-US"/>
        </w:rPr>
        <w:t>+</w:t>
      </w:r>
      <w:r w:rsidR="00852B1D">
        <w:rPr>
          <w:lang w:val="en-US"/>
        </w:rPr>
        <w:t>) or –0.214</w:t>
      </w:r>
      <w:r w:rsidR="00852B1D">
        <w:rPr>
          <w:b/>
          <w:bCs/>
          <w:lang w:val="en-US"/>
        </w:rPr>
        <w:t>a</w:t>
      </w:r>
      <w:r w:rsidR="00852B1D">
        <w:rPr>
          <w:lang w:val="en-US"/>
        </w:rPr>
        <w:t xml:space="preserve"> + 0.5</w:t>
      </w:r>
      <w:r w:rsidR="00852B1D">
        <w:rPr>
          <w:b/>
          <w:bCs/>
          <w:lang w:val="en-US"/>
        </w:rPr>
        <w:t>b</w:t>
      </w:r>
      <w:r w:rsidR="00852B1D">
        <w:rPr>
          <w:lang w:val="en-US"/>
        </w:rPr>
        <w:t xml:space="preserve"> (</w:t>
      </w:r>
      <w:r w:rsidR="00852B1D">
        <w:rPr>
          <w:i/>
          <w:iCs/>
          <w:lang w:val="en-US"/>
        </w:rPr>
        <w:t>A</w:t>
      </w:r>
      <w:r w:rsidR="00852B1D">
        <w:rPr>
          <w:vertAlign w:val="superscript"/>
          <w:lang w:val="en-US"/>
        </w:rPr>
        <w:t>–</w:t>
      </w:r>
      <w:r w:rsidR="00852B1D">
        <w:rPr>
          <w:lang w:val="en-US"/>
        </w:rPr>
        <w:t>) within the layer plane</w:t>
      </w:r>
      <w:r w:rsidR="00F52803">
        <w:rPr>
          <w:lang w:val="en-US"/>
        </w:rPr>
        <w:t>,</w:t>
      </w:r>
      <w:r w:rsidR="000026FA">
        <w:rPr>
          <w:lang w:val="en-US"/>
        </w:rPr>
        <w:t xml:space="preserve"> and the resulting layer pairs are symmetrically equivalent</w:t>
      </w:r>
      <w:r w:rsidR="00852B1D">
        <w:rPr>
          <w:lang w:val="en-US"/>
        </w:rPr>
        <w:t xml:space="preserve">. From this, </w:t>
      </w:r>
      <w:r w:rsidR="000026FA">
        <w:rPr>
          <w:lang w:val="en-US"/>
        </w:rPr>
        <w:t>two maximum degree of order (MDO) polytypes [4] can be derived</w:t>
      </w:r>
      <w:r w:rsidR="00F52803">
        <w:rPr>
          <w:lang w:val="en-US"/>
        </w:rPr>
        <w:t>. We observed for TaRhTe</w:t>
      </w:r>
      <w:r w:rsidR="00F52803">
        <w:rPr>
          <w:vertAlign w:val="subscript"/>
          <w:lang w:val="en-US"/>
        </w:rPr>
        <w:t>4</w:t>
      </w:r>
      <w:r w:rsidR="00F52803">
        <w:rPr>
          <w:lang w:val="en-US"/>
        </w:rPr>
        <w:t xml:space="preserve"> the MDO</w:t>
      </w:r>
      <w:r w:rsidR="00F52803">
        <w:rPr>
          <w:vertAlign w:val="subscript"/>
          <w:lang w:val="en-US"/>
        </w:rPr>
        <w:t>1</w:t>
      </w:r>
      <w:r w:rsidR="00F52803">
        <w:rPr>
          <w:lang w:val="en-US"/>
        </w:rPr>
        <w:t xml:space="preserve"> stacking (Fig. 1(c)), despite </w:t>
      </w:r>
      <w:r w:rsidR="000026FA">
        <w:rPr>
          <w:lang w:val="en-US"/>
        </w:rPr>
        <w:t>TaIrTe</w:t>
      </w:r>
      <w:r w:rsidR="000026FA">
        <w:rPr>
          <w:vertAlign w:val="subscript"/>
          <w:lang w:val="en-US"/>
        </w:rPr>
        <w:t>4</w:t>
      </w:r>
      <w:r w:rsidR="000026FA">
        <w:rPr>
          <w:lang w:val="en-US"/>
        </w:rPr>
        <w:t xml:space="preserve"> and TaRhTe</w:t>
      </w:r>
      <w:r w:rsidR="000026FA">
        <w:rPr>
          <w:vertAlign w:val="subscript"/>
          <w:lang w:val="en-US"/>
        </w:rPr>
        <w:t>4</w:t>
      </w:r>
      <w:r w:rsidR="000026FA">
        <w:rPr>
          <w:lang w:val="en-US"/>
        </w:rPr>
        <w:t xml:space="preserve"> hav</w:t>
      </w:r>
      <w:r w:rsidR="00F52803">
        <w:rPr>
          <w:lang w:val="en-US"/>
        </w:rPr>
        <w:t>ing</w:t>
      </w:r>
      <w:r w:rsidR="000026FA">
        <w:rPr>
          <w:lang w:val="en-US"/>
        </w:rPr>
        <w:t xml:space="preserve"> been reported to follow the MDO</w:t>
      </w:r>
      <w:r w:rsidR="000026FA">
        <w:rPr>
          <w:vertAlign w:val="subscript"/>
          <w:lang w:val="en-US"/>
        </w:rPr>
        <w:t>2</w:t>
      </w:r>
      <w:r w:rsidR="000026FA">
        <w:rPr>
          <w:lang w:val="en-US"/>
        </w:rPr>
        <w:t xml:space="preserve"> stacking</w:t>
      </w:r>
      <w:r w:rsidR="001D75C2">
        <w:rPr>
          <w:lang w:val="en-US"/>
        </w:rPr>
        <w:t xml:space="preserve"> (Fig. 1(d))</w:t>
      </w:r>
      <w:r w:rsidR="000026FA">
        <w:rPr>
          <w:lang w:val="en-US"/>
        </w:rPr>
        <w:t>.</w:t>
      </w:r>
    </w:p>
    <w:p w14:paraId="6650A53C" w14:textId="301B085F" w:rsidR="009A7044" w:rsidRDefault="004B672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F5B7EA9" wp14:editId="6C4F0FB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68202801" name="_x0000_tole_rId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874A7" id="_x0000_tole_rId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2D60DDA" wp14:editId="09F27225">
            <wp:extent cx="6848475" cy="1657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FE662" w14:textId="0A683E96" w:rsidR="009A7044" w:rsidRPr="001D75C2" w:rsidRDefault="00000000">
      <w:pPr>
        <w:pStyle w:val="Heading6"/>
      </w:pPr>
      <w:r>
        <w:rPr>
          <w:b/>
        </w:rPr>
        <w:t>Figure 1</w:t>
      </w:r>
      <w:r>
        <w:t xml:space="preserve">. </w:t>
      </w:r>
      <w:r w:rsidR="00161303">
        <w:t xml:space="preserve">(a) reconstructed </w:t>
      </w:r>
      <w:r w:rsidR="00161303">
        <w:rPr>
          <w:i/>
          <w:iCs/>
        </w:rPr>
        <w:t>h</w:t>
      </w:r>
      <w:r w:rsidR="00161303">
        <w:t>1</w:t>
      </w:r>
      <w:r w:rsidR="00161303">
        <w:rPr>
          <w:i/>
          <w:iCs/>
        </w:rPr>
        <w:t>l</w:t>
      </w:r>
      <w:r w:rsidR="00161303">
        <w:t xml:space="preserve"> plane of TaRhTe</w:t>
      </w:r>
      <w:r w:rsidR="00161303">
        <w:rPr>
          <w:vertAlign w:val="subscript"/>
        </w:rPr>
        <w:t>4</w:t>
      </w:r>
      <w:r w:rsidR="00161303">
        <w:t xml:space="preserve"> in orthorhombic setting; (b) monolayer of TaRhTe</w:t>
      </w:r>
      <w:r w:rsidR="00161303">
        <w:rPr>
          <w:vertAlign w:val="subscript"/>
        </w:rPr>
        <w:t>4</w:t>
      </w:r>
      <w:r w:rsidR="00161303">
        <w:t xml:space="preserve"> (c,</w:t>
      </w:r>
      <w:r w:rsidR="006D1997">
        <w:t xml:space="preserve"> </w:t>
      </w:r>
      <w:r w:rsidR="00161303">
        <w:t xml:space="preserve">d) the two MDO stackings </w:t>
      </w:r>
      <w:r w:rsidR="00F52803">
        <w:t>and</w:t>
      </w:r>
      <w:r w:rsidR="00161303">
        <w:t xml:space="preserve"> their lattice parameters determined at 300 K; (e)</w:t>
      </w:r>
      <w:r w:rsidR="001D75C2">
        <w:t xml:space="preserve"> </w:t>
      </w:r>
      <w:r w:rsidR="004B672A">
        <w:t xml:space="preserve">measured </w:t>
      </w:r>
      <w:r w:rsidR="001D75C2">
        <w:t>intensities</w:t>
      </w:r>
      <w:r w:rsidR="004B672A">
        <w:t xml:space="preserve"> and intensities</w:t>
      </w:r>
      <w:r w:rsidR="001D75C2">
        <w:t xml:space="preserve"> calculated with </w:t>
      </w:r>
      <w:proofErr w:type="spellStart"/>
      <w:r w:rsidR="001D75C2">
        <w:t>DIFF</w:t>
      </w:r>
      <w:r w:rsidR="004B672A">
        <w:t>a</w:t>
      </w:r>
      <w:r w:rsidR="001D75C2">
        <w:t>X</w:t>
      </w:r>
      <w:proofErr w:type="spellEnd"/>
      <w:r w:rsidR="001D75C2">
        <w:t xml:space="preserve"> [5] for the 41</w:t>
      </w:r>
      <w:r w:rsidR="001D75C2">
        <w:rPr>
          <w:i/>
          <w:iCs/>
        </w:rPr>
        <w:t>l</w:t>
      </w:r>
      <w:r w:rsidR="001D75C2">
        <w:t xml:space="preserve"> </w:t>
      </w:r>
      <w:proofErr w:type="gramStart"/>
      <w:r w:rsidR="001D75C2">
        <w:t>rod</w:t>
      </w:r>
      <w:r w:rsidR="00F52803">
        <w:rPr>
          <w:lang w:eastAsia="cs-CZ"/>
        </w:rPr>
        <w:t>;</w:t>
      </w:r>
      <w:proofErr w:type="gramEnd"/>
    </w:p>
    <w:p w14:paraId="6F3B3438" w14:textId="125750CF" w:rsidR="00A47FF2" w:rsidRPr="00A47FF2" w:rsidRDefault="000026FA">
      <w:pPr>
        <w:rPr>
          <w:lang w:eastAsia="cs-CZ"/>
        </w:rPr>
      </w:pPr>
      <w:r>
        <w:rPr>
          <w:lang w:eastAsia="cs-CZ"/>
        </w:rPr>
        <w:t xml:space="preserve">When simulating the </w:t>
      </w:r>
      <w:r w:rsidR="001D75C2">
        <w:rPr>
          <w:lang w:eastAsia="cs-CZ"/>
        </w:rPr>
        <w:t xml:space="preserve">intensities of the </w:t>
      </w:r>
      <w:r>
        <w:rPr>
          <w:lang w:eastAsia="cs-CZ"/>
        </w:rPr>
        <w:t xml:space="preserve">observed diffuse scattering using </w:t>
      </w:r>
      <w:proofErr w:type="spellStart"/>
      <w:r>
        <w:rPr>
          <w:lang w:eastAsia="cs-CZ"/>
        </w:rPr>
        <w:t>DIFF</w:t>
      </w:r>
      <w:r w:rsidR="004B672A">
        <w:rPr>
          <w:lang w:eastAsia="cs-CZ"/>
        </w:rPr>
        <w:t>a</w:t>
      </w:r>
      <w:r>
        <w:rPr>
          <w:lang w:eastAsia="cs-CZ"/>
        </w:rPr>
        <w:t>X</w:t>
      </w:r>
      <w:proofErr w:type="spellEnd"/>
      <w:r>
        <w:rPr>
          <w:lang w:eastAsia="cs-CZ"/>
        </w:rPr>
        <w:t xml:space="preserve"> [5], it was found that two sets</w:t>
      </w:r>
      <w:r w:rsidR="00F52803">
        <w:rPr>
          <w:lang w:eastAsia="cs-CZ"/>
        </w:rPr>
        <w:t xml:space="preserve"> of</w:t>
      </w:r>
      <w:r>
        <w:rPr>
          <w:lang w:eastAsia="cs-CZ"/>
        </w:rPr>
        <w:t xml:space="preserve"> probability parameters, </w:t>
      </w:r>
      <w:r>
        <w:rPr>
          <w:i/>
          <w:iCs/>
          <w:lang w:eastAsia="cs-CZ"/>
        </w:rPr>
        <w:t>p</w:t>
      </w:r>
      <w:r>
        <w:rPr>
          <w:lang w:eastAsia="cs-CZ"/>
        </w:rPr>
        <w:t>/</w:t>
      </w:r>
      <w:r>
        <w:rPr>
          <w:i/>
          <w:iCs/>
          <w:lang w:eastAsia="cs-CZ"/>
        </w:rPr>
        <w:t>q</w:t>
      </w:r>
      <w:r>
        <w:rPr>
          <w:lang w:eastAsia="cs-CZ"/>
        </w:rPr>
        <w:t xml:space="preserve"> and </w:t>
      </w:r>
      <w:r>
        <w:rPr>
          <w:i/>
          <w:iCs/>
          <w:lang w:eastAsia="cs-CZ"/>
        </w:rPr>
        <w:t>r</w:t>
      </w:r>
      <w:r>
        <w:rPr>
          <w:lang w:eastAsia="cs-CZ"/>
        </w:rPr>
        <w:t>/</w:t>
      </w:r>
      <w:r>
        <w:rPr>
          <w:i/>
          <w:iCs/>
          <w:lang w:eastAsia="cs-CZ"/>
        </w:rPr>
        <w:t>s</w:t>
      </w:r>
      <w:r>
        <w:rPr>
          <w:lang w:eastAsia="cs-CZ"/>
        </w:rPr>
        <w:t>, were ne</w:t>
      </w:r>
      <w:r w:rsidR="00F52803">
        <w:rPr>
          <w:lang w:eastAsia="cs-CZ"/>
        </w:rPr>
        <w:t>eded</w:t>
      </w:r>
      <w:r>
        <w:rPr>
          <w:lang w:eastAsia="cs-CZ"/>
        </w:rPr>
        <w:t>.</w:t>
      </w:r>
      <w:r w:rsidRPr="000026FA">
        <w:rPr>
          <w:i/>
          <w:iCs/>
          <w:lang w:eastAsia="cs-CZ"/>
        </w:rPr>
        <w:t xml:space="preserve"> </w:t>
      </w:r>
      <w:r>
        <w:rPr>
          <w:i/>
          <w:iCs/>
          <w:lang w:eastAsia="cs-CZ"/>
        </w:rPr>
        <w:t>p</w:t>
      </w:r>
      <w:r>
        <w:rPr>
          <w:lang w:eastAsia="cs-CZ"/>
        </w:rPr>
        <w:t>/</w:t>
      </w:r>
      <w:r>
        <w:rPr>
          <w:i/>
          <w:iCs/>
          <w:lang w:eastAsia="cs-CZ"/>
        </w:rPr>
        <w:t>q</w:t>
      </w:r>
      <w:r>
        <w:rPr>
          <w:lang w:eastAsia="cs-CZ"/>
        </w:rPr>
        <w:t xml:space="preserve"> describe the preference for either MDO</w:t>
      </w:r>
      <w:r>
        <w:rPr>
          <w:vertAlign w:val="subscript"/>
          <w:lang w:eastAsia="cs-CZ"/>
        </w:rPr>
        <w:t>1</w:t>
      </w:r>
      <w:r>
        <w:rPr>
          <w:lang w:eastAsia="cs-CZ"/>
        </w:rPr>
        <w:t xml:space="preserve"> </w:t>
      </w:r>
      <w:r w:rsidR="00F474EF">
        <w:rPr>
          <w:lang w:eastAsia="cs-CZ"/>
        </w:rPr>
        <w:t>(</w:t>
      </w:r>
      <w:r w:rsidR="00F474EF">
        <w:rPr>
          <w:i/>
          <w:iCs/>
          <w:lang w:eastAsia="cs-CZ"/>
        </w:rPr>
        <w:t>p</w:t>
      </w:r>
      <w:r w:rsidR="00F474EF">
        <w:rPr>
          <w:lang w:eastAsia="cs-CZ"/>
        </w:rPr>
        <w:t xml:space="preserve">) </w:t>
      </w:r>
      <w:r>
        <w:rPr>
          <w:lang w:eastAsia="cs-CZ"/>
        </w:rPr>
        <w:t>or MDO</w:t>
      </w:r>
      <w:r>
        <w:rPr>
          <w:vertAlign w:val="subscript"/>
          <w:lang w:eastAsia="cs-CZ"/>
        </w:rPr>
        <w:t>2</w:t>
      </w:r>
      <w:r>
        <w:rPr>
          <w:lang w:eastAsia="cs-CZ"/>
        </w:rPr>
        <w:t xml:space="preserve"> </w:t>
      </w:r>
      <w:r w:rsidR="00F474EF">
        <w:rPr>
          <w:lang w:eastAsia="cs-CZ"/>
        </w:rPr>
        <w:t>(</w:t>
      </w:r>
      <w:r w:rsidR="001D75C2">
        <w:rPr>
          <w:i/>
          <w:iCs/>
          <w:lang w:eastAsia="cs-CZ"/>
        </w:rPr>
        <w:t>q</w:t>
      </w:r>
      <w:r w:rsidR="001D75C2">
        <w:rPr>
          <w:lang w:eastAsia="cs-CZ"/>
        </w:rPr>
        <w:t xml:space="preserve"> = 1–</w:t>
      </w:r>
      <w:r w:rsidR="001D75C2">
        <w:rPr>
          <w:i/>
          <w:iCs/>
          <w:lang w:eastAsia="cs-CZ"/>
        </w:rPr>
        <w:t>p</w:t>
      </w:r>
      <w:r>
        <w:rPr>
          <w:lang w:eastAsia="cs-CZ"/>
        </w:rPr>
        <w:t>) layer triples</w:t>
      </w:r>
      <w:r w:rsidR="00A47FF2">
        <w:rPr>
          <w:lang w:eastAsia="cs-CZ"/>
        </w:rPr>
        <w:t xml:space="preserve">, while </w:t>
      </w:r>
      <w:r w:rsidR="00A47FF2">
        <w:rPr>
          <w:i/>
          <w:iCs/>
          <w:lang w:eastAsia="cs-CZ"/>
        </w:rPr>
        <w:t>r</w:t>
      </w:r>
      <w:r w:rsidR="00A47FF2">
        <w:rPr>
          <w:lang w:eastAsia="cs-CZ"/>
        </w:rPr>
        <w:t>/</w:t>
      </w:r>
      <w:r w:rsidR="00A47FF2">
        <w:rPr>
          <w:i/>
          <w:iCs/>
          <w:lang w:eastAsia="cs-CZ"/>
        </w:rPr>
        <w:t>s</w:t>
      </w:r>
      <w:r w:rsidR="00A47FF2">
        <w:rPr>
          <w:iCs/>
          <w:lang w:eastAsia="cs-CZ"/>
        </w:rPr>
        <w:t xml:space="preserve"> </w:t>
      </w:r>
      <w:r w:rsidR="001D75C2">
        <w:rPr>
          <w:iCs/>
          <w:lang w:eastAsia="cs-CZ"/>
        </w:rPr>
        <w:t>(</w:t>
      </w:r>
      <w:r w:rsidR="001D75C2">
        <w:rPr>
          <w:i/>
          <w:lang w:eastAsia="cs-CZ"/>
        </w:rPr>
        <w:t>s</w:t>
      </w:r>
      <w:r w:rsidR="001D75C2">
        <w:rPr>
          <w:iCs/>
          <w:lang w:eastAsia="cs-CZ"/>
        </w:rPr>
        <w:t xml:space="preserve"> = 1–</w:t>
      </w:r>
      <w:r w:rsidR="001D75C2">
        <w:rPr>
          <w:i/>
          <w:lang w:eastAsia="cs-CZ"/>
        </w:rPr>
        <w:t>r</w:t>
      </w:r>
      <w:r w:rsidR="001D75C2">
        <w:rPr>
          <w:iCs/>
          <w:lang w:eastAsia="cs-CZ"/>
        </w:rPr>
        <w:t xml:space="preserve">) </w:t>
      </w:r>
      <w:r w:rsidR="00F52803">
        <w:rPr>
          <w:iCs/>
          <w:lang w:eastAsia="cs-CZ"/>
        </w:rPr>
        <w:t>introduce</w:t>
      </w:r>
      <w:r w:rsidR="00A47FF2">
        <w:rPr>
          <w:iCs/>
          <w:lang w:eastAsia="cs-CZ"/>
        </w:rPr>
        <w:t xml:space="preserve"> a </w:t>
      </w:r>
      <w:r w:rsidR="001D75C2">
        <w:rPr>
          <w:iCs/>
          <w:lang w:eastAsia="cs-CZ"/>
        </w:rPr>
        <w:t xml:space="preserve">potential </w:t>
      </w:r>
      <w:r w:rsidR="00A47FF2">
        <w:rPr>
          <w:iCs/>
          <w:lang w:eastAsia="cs-CZ"/>
        </w:rPr>
        <w:t xml:space="preserve">general </w:t>
      </w:r>
      <w:r w:rsidR="00A47FF2">
        <w:rPr>
          <w:i/>
          <w:iCs/>
          <w:lang w:eastAsia="cs-CZ"/>
        </w:rPr>
        <w:t>A</w:t>
      </w:r>
      <w:r w:rsidR="00A47FF2">
        <w:rPr>
          <w:vertAlign w:val="superscript"/>
          <w:lang w:eastAsia="cs-CZ"/>
        </w:rPr>
        <w:t>+</w:t>
      </w:r>
      <w:r w:rsidR="00A47FF2">
        <w:rPr>
          <w:lang w:eastAsia="cs-CZ"/>
        </w:rPr>
        <w:t xml:space="preserve"> vs. </w:t>
      </w:r>
      <w:r w:rsidR="00A47FF2">
        <w:rPr>
          <w:i/>
          <w:iCs/>
          <w:lang w:eastAsia="cs-CZ"/>
        </w:rPr>
        <w:t>A</w:t>
      </w:r>
      <w:r w:rsidR="00A47FF2">
        <w:rPr>
          <w:vertAlign w:val="superscript"/>
          <w:lang w:eastAsia="cs-CZ"/>
        </w:rPr>
        <w:t>–</w:t>
      </w:r>
      <w:r w:rsidR="001D75C2">
        <w:rPr>
          <w:lang w:eastAsia="cs-CZ"/>
        </w:rPr>
        <w:t xml:space="preserve"> preference</w:t>
      </w:r>
      <w:r w:rsidR="00A47FF2">
        <w:rPr>
          <w:lang w:eastAsia="cs-CZ"/>
        </w:rPr>
        <w:t xml:space="preserve">. Surprisingly, the best agreement </w:t>
      </w:r>
      <w:r w:rsidR="00F474EF">
        <w:rPr>
          <w:lang w:eastAsia="cs-CZ"/>
        </w:rPr>
        <w:t>with experimental data</w:t>
      </w:r>
      <w:r w:rsidR="00A47FF2">
        <w:rPr>
          <w:lang w:eastAsia="cs-CZ"/>
        </w:rPr>
        <w:t xml:space="preserve"> was achieved with </w:t>
      </w:r>
      <w:r w:rsidR="00A47FF2">
        <w:rPr>
          <w:i/>
          <w:iCs/>
          <w:lang w:eastAsia="cs-CZ"/>
        </w:rPr>
        <w:t>p</w:t>
      </w:r>
      <w:r w:rsidR="00A47FF2">
        <w:rPr>
          <w:lang w:eastAsia="cs-CZ"/>
        </w:rPr>
        <w:t xml:space="preserve"> = 0.3 and </w:t>
      </w:r>
      <w:r w:rsidR="00A47FF2">
        <w:rPr>
          <w:i/>
          <w:iCs/>
          <w:lang w:eastAsia="cs-CZ"/>
        </w:rPr>
        <w:t>r</w:t>
      </w:r>
      <w:r w:rsidR="00A47FF2">
        <w:rPr>
          <w:lang w:eastAsia="cs-CZ"/>
        </w:rPr>
        <w:t xml:space="preserve"> = 0.85</w:t>
      </w:r>
      <w:r w:rsidR="001D75C2">
        <w:rPr>
          <w:lang w:eastAsia="cs-CZ"/>
        </w:rPr>
        <w:t xml:space="preserve"> (Fig. 1(e))</w:t>
      </w:r>
      <w:r w:rsidR="00A47FF2">
        <w:rPr>
          <w:lang w:eastAsia="cs-CZ"/>
        </w:rPr>
        <w:t xml:space="preserve">. </w:t>
      </w:r>
      <w:r w:rsidR="00F474EF">
        <w:rPr>
          <w:lang w:eastAsia="cs-CZ"/>
        </w:rPr>
        <w:t>C</w:t>
      </w:r>
      <w:r w:rsidR="00F52803">
        <w:rPr>
          <w:lang w:eastAsia="cs-CZ"/>
        </w:rPr>
        <w:t>oncerning</w:t>
      </w:r>
      <w:r w:rsidR="001D75C2">
        <w:rPr>
          <w:lang w:eastAsia="cs-CZ"/>
        </w:rPr>
        <w:t xml:space="preserve"> the </w:t>
      </w:r>
      <w:r w:rsidR="00F52803">
        <w:rPr>
          <w:lang w:eastAsia="cs-CZ"/>
        </w:rPr>
        <w:t xml:space="preserve">two possible </w:t>
      </w:r>
      <w:r w:rsidR="001D75C2">
        <w:rPr>
          <w:lang w:eastAsia="cs-CZ"/>
        </w:rPr>
        <w:t xml:space="preserve">layer triples, there exists a preference for </w:t>
      </w:r>
      <w:r w:rsidR="00A47FF2">
        <w:rPr>
          <w:lang w:eastAsia="cs-CZ"/>
        </w:rPr>
        <w:t>MDO</w:t>
      </w:r>
      <w:r w:rsidR="00A47FF2">
        <w:rPr>
          <w:vertAlign w:val="subscript"/>
          <w:lang w:eastAsia="cs-CZ"/>
        </w:rPr>
        <w:t>2</w:t>
      </w:r>
      <w:r w:rsidR="00A47FF2">
        <w:rPr>
          <w:lang w:eastAsia="cs-CZ"/>
        </w:rPr>
        <w:t xml:space="preserve"> </w:t>
      </w:r>
      <w:r w:rsidR="00F52803">
        <w:rPr>
          <w:lang w:eastAsia="cs-CZ"/>
        </w:rPr>
        <w:t xml:space="preserve">relative </w:t>
      </w:r>
      <w:r w:rsidR="00161303">
        <w:rPr>
          <w:lang w:eastAsia="cs-CZ"/>
        </w:rPr>
        <w:t>to MDO</w:t>
      </w:r>
      <w:r w:rsidR="00161303">
        <w:rPr>
          <w:vertAlign w:val="subscript"/>
          <w:lang w:eastAsia="cs-CZ"/>
        </w:rPr>
        <w:t>1</w:t>
      </w:r>
      <w:r w:rsidR="00A47FF2">
        <w:rPr>
          <w:lang w:eastAsia="cs-CZ"/>
        </w:rPr>
        <w:t>,</w:t>
      </w:r>
      <w:r w:rsidR="00F474EF">
        <w:rPr>
          <w:lang w:eastAsia="cs-CZ"/>
        </w:rPr>
        <w:t xml:space="preserve"> but</w:t>
      </w:r>
      <w:r w:rsidR="00A47FF2">
        <w:rPr>
          <w:lang w:eastAsia="cs-CZ"/>
        </w:rPr>
        <w:t xml:space="preserve"> a stronger external influence parameter, possibly local temperature or concentration gradients, shifts the layer stacking in the crystal to</w:t>
      </w:r>
      <w:r w:rsidR="00F474EF">
        <w:rPr>
          <w:lang w:eastAsia="cs-CZ"/>
        </w:rPr>
        <w:t xml:space="preserve"> the</w:t>
      </w:r>
      <w:r w:rsidR="00A47FF2">
        <w:rPr>
          <w:lang w:eastAsia="cs-CZ"/>
        </w:rPr>
        <w:t xml:space="preserve"> MDO</w:t>
      </w:r>
      <w:r w:rsidR="00A47FF2">
        <w:rPr>
          <w:vertAlign w:val="subscript"/>
          <w:lang w:eastAsia="cs-CZ"/>
        </w:rPr>
        <w:t>1</w:t>
      </w:r>
      <w:r w:rsidR="00F474EF">
        <w:rPr>
          <w:lang w:eastAsia="cs-CZ"/>
        </w:rPr>
        <w:t xml:space="preserve"> polytype</w:t>
      </w:r>
      <w:r w:rsidR="00A47FF2">
        <w:rPr>
          <w:lang w:eastAsia="cs-CZ"/>
        </w:rPr>
        <w:t xml:space="preserve">. </w:t>
      </w:r>
    </w:p>
    <w:p w14:paraId="0C8B977D" w14:textId="77777777" w:rsidR="009D5F8B" w:rsidRDefault="005C4522" w:rsidP="00F474EF">
      <w:r>
        <w:t>Stacking disorder was observed consequently over crystals from numerous batches</w:t>
      </w:r>
      <w:r w:rsidR="006D1997">
        <w:t>.</w:t>
      </w:r>
      <w:r>
        <w:t xml:space="preserve"> </w:t>
      </w:r>
      <w:r w:rsidR="006D1997">
        <w:t>Hereby,</w:t>
      </w:r>
      <w:r>
        <w:t xml:space="preserve"> we identified </w:t>
      </w:r>
      <w:r w:rsidR="00A735B8">
        <w:t xml:space="preserve">the quenching temperature </w:t>
      </w:r>
      <w:r>
        <w:rPr>
          <w:i/>
          <w:iCs/>
        </w:rPr>
        <w:t>T</w:t>
      </w:r>
      <w:r>
        <w:t xml:space="preserve"> as a </w:t>
      </w:r>
      <w:r w:rsidR="006D1997">
        <w:t>possible</w:t>
      </w:r>
      <w:r>
        <w:t xml:space="preserve"> influence parameter</w:t>
      </w:r>
      <w:r w:rsidR="00A735B8">
        <w:t>,</w:t>
      </w:r>
      <w:r>
        <w:t xml:space="preserve"> a lower </w:t>
      </w:r>
      <w:r>
        <w:rPr>
          <w:i/>
          <w:iCs/>
        </w:rPr>
        <w:t>T</w:t>
      </w:r>
      <w:r>
        <w:t xml:space="preserve"> leads to a preference </w:t>
      </w:r>
      <w:r w:rsidR="006D1997">
        <w:t>for</w:t>
      </w:r>
      <w:r>
        <w:t xml:space="preserve"> the orthorhombic</w:t>
      </w:r>
      <w:r w:rsidR="006D1997">
        <w:t xml:space="preserve"> MDO</w:t>
      </w:r>
      <w:r w:rsidR="006D1997">
        <w:rPr>
          <w:vertAlign w:val="subscript"/>
        </w:rPr>
        <w:t>2</w:t>
      </w:r>
      <w:r>
        <w:t xml:space="preserve"> stacking in TaRhTe</w:t>
      </w:r>
      <w:r>
        <w:rPr>
          <w:vertAlign w:val="subscript"/>
        </w:rPr>
        <w:t>4</w:t>
      </w:r>
      <w:r w:rsidR="001D75C2">
        <w:t>. For</w:t>
      </w:r>
      <w:r>
        <w:t xml:space="preserve"> TaIrTe</w:t>
      </w:r>
      <w:r>
        <w:rPr>
          <w:vertAlign w:val="subscript"/>
        </w:rPr>
        <w:t>4</w:t>
      </w:r>
      <w:r w:rsidR="001D75C2">
        <w:t>, we</w:t>
      </w:r>
      <w:r w:rsidR="00F474EF">
        <w:t xml:space="preserve"> likewise</w:t>
      </w:r>
      <w:r w:rsidR="001D75C2">
        <w:t xml:space="preserve"> detected diffuse scattering</w:t>
      </w:r>
      <w:r w:rsidR="00F474EF">
        <w:t xml:space="preserve"> </w:t>
      </w:r>
      <w:r w:rsidR="006D1997">
        <w:t>following the MDO</w:t>
      </w:r>
      <w:r w:rsidR="006D1997">
        <w:rPr>
          <w:vertAlign w:val="subscript"/>
        </w:rPr>
        <w:t>2</w:t>
      </w:r>
      <w:r>
        <w:t xml:space="preserve"> </w:t>
      </w:r>
      <w:r w:rsidR="006D1997">
        <w:t>stacking</w:t>
      </w:r>
      <w:r w:rsidR="001D75C2">
        <w:t xml:space="preserve">; hereby, </w:t>
      </w:r>
      <w:r>
        <w:t xml:space="preserve">the </w:t>
      </w:r>
      <w:r w:rsidR="00F474EF">
        <w:t>degree of stacking disorder</w:t>
      </w:r>
      <w:r>
        <w:t xml:space="preserve"> is </w:t>
      </w:r>
      <w:r w:rsidR="001D75C2">
        <w:t>decreasing</w:t>
      </w:r>
      <w:r>
        <w:t xml:space="preserve"> when </w:t>
      </w:r>
      <w:r w:rsidR="001D75C2">
        <w:t>reducing</w:t>
      </w:r>
      <w:r>
        <w:t xml:space="preserve"> </w:t>
      </w:r>
      <w:r>
        <w:rPr>
          <w:i/>
          <w:iCs/>
        </w:rPr>
        <w:t>T</w:t>
      </w:r>
      <w:r>
        <w:t xml:space="preserve">. </w:t>
      </w:r>
    </w:p>
    <w:p w14:paraId="6D27CDE8" w14:textId="2DFAE0B7" w:rsidR="00F474EF" w:rsidRPr="007C7218" w:rsidRDefault="006D1997" w:rsidP="00F474EF">
      <w:r>
        <w:t xml:space="preserve">In this talk, I will establish </w:t>
      </w:r>
      <w:r w:rsidR="00F474EF">
        <w:t>a</w:t>
      </w:r>
      <w:r>
        <w:t xml:space="preserve"> disorder model guided by OD-theory, present the influence of </w:t>
      </w:r>
      <w:r>
        <w:rPr>
          <w:i/>
          <w:iCs/>
          <w:lang w:eastAsia="cs-CZ"/>
        </w:rPr>
        <w:t>p</w:t>
      </w:r>
      <w:r>
        <w:rPr>
          <w:lang w:eastAsia="cs-CZ"/>
        </w:rPr>
        <w:t>/</w:t>
      </w:r>
      <w:r>
        <w:rPr>
          <w:i/>
          <w:iCs/>
          <w:lang w:eastAsia="cs-CZ"/>
        </w:rPr>
        <w:t>q</w:t>
      </w:r>
      <w:r>
        <w:rPr>
          <w:lang w:eastAsia="cs-CZ"/>
        </w:rPr>
        <w:t xml:space="preserve"> and </w:t>
      </w:r>
      <w:r>
        <w:rPr>
          <w:i/>
          <w:iCs/>
          <w:lang w:eastAsia="cs-CZ"/>
        </w:rPr>
        <w:t>r</w:t>
      </w:r>
      <w:r>
        <w:rPr>
          <w:lang w:eastAsia="cs-CZ"/>
        </w:rPr>
        <w:t>/</w:t>
      </w:r>
      <w:r>
        <w:rPr>
          <w:i/>
          <w:iCs/>
          <w:lang w:eastAsia="cs-CZ"/>
        </w:rPr>
        <w:t>s</w:t>
      </w:r>
      <w:r>
        <w:rPr>
          <w:lang w:eastAsia="cs-CZ"/>
        </w:rPr>
        <w:t xml:space="preserve"> on the simulated patterns and highlight, how the different stacking orders can be controlled by the synthetic conditions.</w:t>
      </w:r>
      <w:r w:rsidR="00F474EF">
        <w:rPr>
          <w:lang w:eastAsia="cs-CZ"/>
        </w:rPr>
        <w:t xml:space="preserve"> </w:t>
      </w:r>
      <w:r w:rsidR="00F474EF">
        <w:rPr>
          <w:lang w:val="en-CH"/>
        </w:rPr>
        <w:t>Our</w:t>
      </w:r>
      <w:r w:rsidR="00F474EF" w:rsidRPr="007C7218">
        <w:rPr>
          <w:lang w:val="en-CH"/>
        </w:rPr>
        <w:t xml:space="preserve"> results demonstrate how stacking order in quantum materials can be tuned through synthetic control, offering a new handle on structural engineering at the atomic scale.</w:t>
      </w:r>
    </w:p>
    <w:p w14:paraId="7E16226F" w14:textId="1802947F" w:rsidR="009A7044" w:rsidRPr="009B16BE" w:rsidRDefault="00000000" w:rsidP="009B16BE">
      <w:pPr>
        <w:pStyle w:val="Heading4"/>
        <w:rPr>
          <w:lang w:val="en-US"/>
        </w:rPr>
      </w:pPr>
      <w:r w:rsidRPr="009B16BE">
        <w:rPr>
          <w:lang w:val="en-US"/>
        </w:rPr>
        <w:t xml:space="preserve">[1] </w:t>
      </w:r>
      <w:r w:rsidR="009B16BE" w:rsidRPr="009B16BE">
        <w:rPr>
          <w:lang w:val="en-US"/>
        </w:rPr>
        <w:t xml:space="preserve">Mar, A.; </w:t>
      </w:r>
      <w:proofErr w:type="spellStart"/>
      <w:r w:rsidR="009B16BE" w:rsidRPr="009B16BE">
        <w:rPr>
          <w:lang w:val="en-US"/>
        </w:rPr>
        <w:t>Ibers</w:t>
      </w:r>
      <w:proofErr w:type="spellEnd"/>
      <w:r w:rsidR="009B16BE" w:rsidRPr="009B16BE">
        <w:rPr>
          <w:lang w:val="en-US"/>
        </w:rPr>
        <w:t xml:space="preserve">, J. A. </w:t>
      </w:r>
      <w:r w:rsidR="009B16BE">
        <w:rPr>
          <w:lang w:val="en-US"/>
        </w:rPr>
        <w:t xml:space="preserve">(1992) </w:t>
      </w:r>
      <w:r w:rsidR="009B16BE" w:rsidRPr="009B16BE">
        <w:rPr>
          <w:i/>
          <w:iCs/>
          <w:lang w:val="en-US"/>
        </w:rPr>
        <w:t>J. Solid State Chem</w:t>
      </w:r>
      <w:r w:rsidR="009B16BE">
        <w:rPr>
          <w:lang w:val="en-US"/>
        </w:rPr>
        <w:t>.</w:t>
      </w:r>
      <w:r w:rsidR="009B16BE" w:rsidRPr="009B16BE">
        <w:rPr>
          <w:lang w:val="en-US"/>
        </w:rPr>
        <w:t xml:space="preserve"> </w:t>
      </w:r>
      <w:r w:rsidR="009B16BE" w:rsidRPr="009B16BE">
        <w:rPr>
          <w:b/>
          <w:bCs w:val="0"/>
          <w:lang w:val="en-US"/>
        </w:rPr>
        <w:t>97</w:t>
      </w:r>
      <w:r w:rsidR="009B16BE" w:rsidRPr="009B16BE">
        <w:rPr>
          <w:lang w:val="en-US"/>
        </w:rPr>
        <w:t>, 366–376.</w:t>
      </w:r>
    </w:p>
    <w:p w14:paraId="3233E719" w14:textId="2F7B76C3" w:rsidR="009A7044" w:rsidRPr="004B672A" w:rsidRDefault="00000000" w:rsidP="009B16BE">
      <w:pPr>
        <w:pStyle w:val="Heading4"/>
        <w:rPr>
          <w:lang w:val="de-AT"/>
        </w:rPr>
      </w:pPr>
      <w:r>
        <w:t xml:space="preserve">[2] </w:t>
      </w:r>
      <w:proofErr w:type="spellStart"/>
      <w:r w:rsidR="009B16BE">
        <w:t>Shipunov</w:t>
      </w:r>
      <w:proofErr w:type="spellEnd"/>
      <w:r w:rsidR="009B16BE">
        <w:t xml:space="preserve">, G.; Piening, B. R.; Wuttke, C.; Romanova, T. A.; </w:t>
      </w:r>
      <w:proofErr w:type="spellStart"/>
      <w:r w:rsidR="009B16BE">
        <w:t>Sadakov</w:t>
      </w:r>
      <w:proofErr w:type="spellEnd"/>
      <w:r w:rsidR="009B16BE">
        <w:t xml:space="preserve">, A. V.: </w:t>
      </w:r>
      <w:proofErr w:type="spellStart"/>
      <w:r w:rsidR="009B16BE">
        <w:t>Sobolevskiy</w:t>
      </w:r>
      <w:proofErr w:type="spellEnd"/>
      <w:r w:rsidR="009B16BE">
        <w:t xml:space="preserve">, O. A.; </w:t>
      </w:r>
      <w:proofErr w:type="spellStart"/>
      <w:r w:rsidR="009B16BE">
        <w:t>Guzovsky</w:t>
      </w:r>
      <w:proofErr w:type="spellEnd"/>
      <w:r w:rsidR="009B16BE">
        <w:t xml:space="preserve">, E. Y.; </w:t>
      </w:r>
      <w:proofErr w:type="spellStart"/>
      <w:r w:rsidR="009B16BE">
        <w:t>Usoltsev</w:t>
      </w:r>
      <w:proofErr w:type="spellEnd"/>
      <w:r w:rsidR="009B16BE">
        <w:t xml:space="preserve">, A. S.; </w:t>
      </w:r>
      <w:proofErr w:type="spellStart"/>
      <w:r w:rsidR="009B16BE">
        <w:t>Pudalov</w:t>
      </w:r>
      <w:proofErr w:type="spellEnd"/>
      <w:r w:rsidR="009B16BE">
        <w:t xml:space="preserve">, V. M.; Efremov, D. V.; </w:t>
      </w:r>
      <w:proofErr w:type="spellStart"/>
      <w:r w:rsidR="009B16BE" w:rsidRPr="009B16BE">
        <w:rPr>
          <w:lang w:val="en-US"/>
        </w:rPr>
        <w:t>Subakti</w:t>
      </w:r>
      <w:proofErr w:type="spellEnd"/>
      <w:r w:rsidR="009B16BE" w:rsidRPr="009B16BE">
        <w:rPr>
          <w:lang w:val="en-US"/>
        </w:rPr>
        <w:t xml:space="preserve">, S.; Wolf, D.; </w:t>
      </w:r>
      <w:proofErr w:type="spellStart"/>
      <w:r w:rsidR="009B16BE" w:rsidRPr="009B16BE">
        <w:rPr>
          <w:lang w:val="en-US"/>
        </w:rPr>
        <w:t>Lubk</w:t>
      </w:r>
      <w:proofErr w:type="spellEnd"/>
      <w:r w:rsidR="009B16BE" w:rsidRPr="009B16BE">
        <w:rPr>
          <w:lang w:val="en-US"/>
        </w:rPr>
        <w:t>, A.; B</w:t>
      </w:r>
      <w:r w:rsidR="009B16BE">
        <w:rPr>
          <w:rFonts w:ascii="Aptos Display" w:hAnsi="Aptos Display"/>
          <w:lang w:val="en-US"/>
        </w:rPr>
        <w:t>ü</w:t>
      </w:r>
      <w:r w:rsidR="009B16BE" w:rsidRPr="009B16BE">
        <w:rPr>
          <w:lang w:val="en-US"/>
        </w:rPr>
        <w:t xml:space="preserve">chner, B.; </w:t>
      </w:r>
      <w:proofErr w:type="spellStart"/>
      <w:r w:rsidR="009B16BE" w:rsidRPr="009B16BE">
        <w:rPr>
          <w:lang w:val="en-US"/>
        </w:rPr>
        <w:t>Aswartham</w:t>
      </w:r>
      <w:proofErr w:type="spellEnd"/>
      <w:r w:rsidR="009B16BE" w:rsidRPr="009B16BE">
        <w:rPr>
          <w:lang w:val="en-US"/>
        </w:rPr>
        <w:t>, S.</w:t>
      </w:r>
      <w:r w:rsidR="009B16BE">
        <w:rPr>
          <w:lang w:val="en-US"/>
        </w:rPr>
        <w:t xml:space="preserve"> (2021)</w:t>
      </w:r>
      <w:r w:rsidR="009B16BE" w:rsidRPr="009B16BE">
        <w:rPr>
          <w:lang w:val="en-US"/>
        </w:rPr>
        <w:t xml:space="preserve"> </w:t>
      </w:r>
      <w:r w:rsidR="009B16BE" w:rsidRPr="009B16BE">
        <w:rPr>
          <w:i/>
          <w:iCs/>
        </w:rPr>
        <w:t>J. Phys. </w:t>
      </w:r>
      <w:r w:rsidR="009B16BE" w:rsidRPr="004B672A">
        <w:rPr>
          <w:i/>
          <w:iCs/>
          <w:lang w:val="de-AT"/>
        </w:rPr>
        <w:t>Chem. Lett</w:t>
      </w:r>
      <w:r w:rsidR="009B16BE" w:rsidRPr="004B672A">
        <w:rPr>
          <w:lang w:val="de-AT"/>
        </w:rPr>
        <w:t xml:space="preserve">. </w:t>
      </w:r>
      <w:r w:rsidR="009B16BE" w:rsidRPr="004B672A">
        <w:rPr>
          <w:b/>
          <w:bCs w:val="0"/>
          <w:lang w:val="de-AT"/>
        </w:rPr>
        <w:t>12</w:t>
      </w:r>
      <w:r w:rsidR="009B16BE" w:rsidRPr="004B672A">
        <w:rPr>
          <w:lang w:val="de-AT"/>
        </w:rPr>
        <w:t>, 6730–6735.</w:t>
      </w:r>
    </w:p>
    <w:p w14:paraId="0C357DC8" w14:textId="6C0C8C26" w:rsidR="009A7044" w:rsidRPr="00D37778" w:rsidRDefault="00000000" w:rsidP="005C4522">
      <w:pPr>
        <w:pStyle w:val="Heading4"/>
        <w:rPr>
          <w:lang w:val="en-US"/>
        </w:rPr>
      </w:pPr>
      <w:r w:rsidRPr="005C4522">
        <w:rPr>
          <w:lang w:val="de-AT"/>
        </w:rPr>
        <w:t xml:space="preserve">[3] </w:t>
      </w:r>
      <w:r w:rsidR="005C4522" w:rsidRPr="005C4522">
        <w:rPr>
          <w:lang w:val="de-AT"/>
        </w:rPr>
        <w:t>Dornberger-Schiff, K.; Grell-Niemann, H. (</w:t>
      </w:r>
      <w:r w:rsidR="005C4522">
        <w:rPr>
          <w:lang w:val="de-AT"/>
        </w:rPr>
        <w:t xml:space="preserve">1961) </w:t>
      </w:r>
      <w:r w:rsidR="005C4522" w:rsidRPr="005C4522">
        <w:rPr>
          <w:i/>
          <w:iCs/>
          <w:lang w:val="de-AT"/>
        </w:rPr>
        <w:t>Acta Crystallogr</w:t>
      </w:r>
      <w:r w:rsidR="005C4522">
        <w:rPr>
          <w:lang w:val="de-AT"/>
        </w:rPr>
        <w:t>.</w:t>
      </w:r>
      <w:r w:rsidR="005C4522" w:rsidRPr="005C4522">
        <w:rPr>
          <w:lang w:val="de-AT"/>
        </w:rPr>
        <w:t xml:space="preserve"> </w:t>
      </w:r>
      <w:r w:rsidR="005C4522" w:rsidRPr="00D37778">
        <w:rPr>
          <w:b/>
          <w:bCs w:val="0"/>
          <w:lang w:val="en-US"/>
        </w:rPr>
        <w:t>14</w:t>
      </w:r>
      <w:r w:rsidR="005C4522" w:rsidRPr="00D37778">
        <w:rPr>
          <w:lang w:val="en-US"/>
        </w:rPr>
        <w:t>, 167–177.</w:t>
      </w:r>
    </w:p>
    <w:p w14:paraId="7B271102" w14:textId="35D4094A" w:rsidR="009A7044" w:rsidRDefault="00000000" w:rsidP="00852B1D">
      <w:pPr>
        <w:pStyle w:val="Heading4"/>
        <w:rPr>
          <w:lang w:val="en-US"/>
        </w:rPr>
      </w:pPr>
      <w:r w:rsidRPr="00D37778">
        <w:rPr>
          <w:lang w:val="en-US"/>
        </w:rPr>
        <w:t xml:space="preserve">[4] </w:t>
      </w:r>
      <w:r w:rsidR="00852B1D" w:rsidRPr="00D37778">
        <w:rPr>
          <w:lang w:val="en-US"/>
        </w:rPr>
        <w:t xml:space="preserve">Dornberger-Schiff, K. (1982) </w:t>
      </w:r>
      <w:r w:rsidR="00852B1D" w:rsidRPr="00D37778">
        <w:rPr>
          <w:i/>
          <w:iCs/>
          <w:lang w:val="en-US"/>
        </w:rPr>
        <w:t>Acta Crystallogr</w:t>
      </w:r>
      <w:r w:rsidR="00852B1D" w:rsidRPr="00D37778">
        <w:rPr>
          <w:lang w:val="en-US"/>
        </w:rPr>
        <w:t xml:space="preserve">. </w:t>
      </w:r>
      <w:r w:rsidR="00852B1D" w:rsidRPr="004B672A">
        <w:rPr>
          <w:lang w:val="en-US"/>
        </w:rPr>
        <w:t>A</w:t>
      </w:r>
      <w:r w:rsidR="00852B1D" w:rsidRPr="00852B1D">
        <w:rPr>
          <w:b/>
          <w:bCs w:val="0"/>
          <w:lang w:val="en-US"/>
        </w:rPr>
        <w:t>38</w:t>
      </w:r>
      <w:r w:rsidR="00852B1D" w:rsidRPr="00852B1D">
        <w:rPr>
          <w:lang w:val="en-US"/>
        </w:rPr>
        <w:t>, 483–491.</w:t>
      </w:r>
    </w:p>
    <w:p w14:paraId="3AB6F1FD" w14:textId="176E4669" w:rsidR="00F52803" w:rsidRPr="00F52803" w:rsidRDefault="00852B1D" w:rsidP="00F52803">
      <w:pPr>
        <w:pStyle w:val="Heading4"/>
      </w:pPr>
      <w:r>
        <w:rPr>
          <w:lang w:val="en-US"/>
        </w:rPr>
        <w:t xml:space="preserve">[5] </w:t>
      </w:r>
      <w:r w:rsidR="000026FA">
        <w:rPr>
          <w:lang w:val="en-US"/>
        </w:rPr>
        <w:t>T</w:t>
      </w:r>
      <w:r w:rsidRPr="00852B1D">
        <w:rPr>
          <w:lang w:val="en-US"/>
        </w:rPr>
        <w:t xml:space="preserve">reacy, M.; Newsam, J.; Deem, M. </w:t>
      </w:r>
      <w:r w:rsidR="000026FA">
        <w:rPr>
          <w:lang w:val="en-US"/>
        </w:rPr>
        <w:t xml:space="preserve">(1991) </w:t>
      </w:r>
      <w:r w:rsidR="000026FA" w:rsidRPr="000026FA">
        <w:rPr>
          <w:i/>
          <w:iCs/>
        </w:rPr>
        <w:t>Proc. Roy. Soc. Lond.</w:t>
      </w:r>
      <w:r w:rsidR="000026FA" w:rsidRPr="000026FA">
        <w:t xml:space="preserve"> A</w:t>
      </w:r>
      <w:r w:rsidR="000026FA" w:rsidRPr="000026FA">
        <w:rPr>
          <w:b/>
        </w:rPr>
        <w:t>433</w:t>
      </w:r>
      <w:r w:rsidR="000026FA" w:rsidRPr="000026FA">
        <w:t>, 499–520.</w:t>
      </w:r>
    </w:p>
    <w:sectPr w:rsidR="00F52803" w:rsidRPr="00F52803">
      <w:headerReference w:type="default" r:id="rId8"/>
      <w:footerReference w:type="default" r:id="rId9"/>
      <w:pgSz w:w="12240" w:h="15840"/>
      <w:pgMar w:top="765" w:right="720" w:bottom="765" w:left="720" w:header="708" w:footer="708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EF995E" w14:textId="77777777" w:rsidR="00E55E9B" w:rsidRDefault="00E55E9B">
      <w:pPr>
        <w:spacing w:after="0"/>
      </w:pPr>
      <w:r>
        <w:separator/>
      </w:r>
    </w:p>
  </w:endnote>
  <w:endnote w:type="continuationSeparator" w:id="0">
    <w:p w14:paraId="75F1566F" w14:textId="77777777" w:rsidR="00E55E9B" w:rsidRDefault="00E55E9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0ED12" w14:textId="77777777" w:rsidR="009A7044" w:rsidRDefault="00000000">
    <w:pPr>
      <w:pStyle w:val="Footer"/>
    </w:pPr>
    <w:r>
      <w:t xml:space="preserve">Acta </w:t>
    </w:r>
    <w:proofErr w:type="spellStart"/>
    <w:r>
      <w:t>Cryst</w:t>
    </w:r>
    <w:proofErr w:type="spellEnd"/>
    <w:r>
      <w:t>. (2025). A81, e1</w:t>
    </w:r>
  </w:p>
  <w:p w14:paraId="67338036" w14:textId="77777777" w:rsidR="009A7044" w:rsidRDefault="009A7044">
    <w:pPr>
      <w:tabs>
        <w:tab w:val="center" w:pos="4703"/>
        <w:tab w:val="right" w:pos="94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9D40AA" w14:textId="77777777" w:rsidR="00E55E9B" w:rsidRDefault="00E55E9B">
      <w:pPr>
        <w:spacing w:after="0"/>
      </w:pPr>
      <w:r>
        <w:separator/>
      </w:r>
    </w:p>
  </w:footnote>
  <w:footnote w:type="continuationSeparator" w:id="0">
    <w:p w14:paraId="39C36CAA" w14:textId="77777777" w:rsidR="00E55E9B" w:rsidRDefault="00E55E9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02124" w14:textId="77777777" w:rsidR="009A7044" w:rsidRDefault="00000000">
    <w:pPr>
      <w:tabs>
        <w:tab w:val="center" w:pos="4703"/>
        <w:tab w:val="right" w:pos="9406"/>
      </w:tabs>
    </w:pPr>
    <w:r>
      <w:rPr>
        <w:b/>
        <w:bCs/>
      </w:rPr>
      <w:t>MS</w:t>
    </w:r>
    <w:r>
      <w:tab/>
    </w:r>
    <w:proofErr w:type="spellStart"/>
    <w:r>
      <w:rPr>
        <w:b/>
        <w:bCs/>
      </w:rPr>
      <w:t>Microsymposium</w:t>
    </w:r>
    <w:proofErr w:type="spellEnd"/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044"/>
    <w:rsid w:val="000026FA"/>
    <w:rsid w:val="00161303"/>
    <w:rsid w:val="001D75C2"/>
    <w:rsid w:val="00362EF4"/>
    <w:rsid w:val="00452E40"/>
    <w:rsid w:val="00477AF8"/>
    <w:rsid w:val="004B672A"/>
    <w:rsid w:val="005C4522"/>
    <w:rsid w:val="006A39B6"/>
    <w:rsid w:val="006B34D6"/>
    <w:rsid w:val="006C6B25"/>
    <w:rsid w:val="006D1997"/>
    <w:rsid w:val="00723E69"/>
    <w:rsid w:val="007C7218"/>
    <w:rsid w:val="00852B1D"/>
    <w:rsid w:val="008D3FDC"/>
    <w:rsid w:val="009A7044"/>
    <w:rsid w:val="009B16BE"/>
    <w:rsid w:val="009D5F8B"/>
    <w:rsid w:val="00A011B0"/>
    <w:rsid w:val="00A47FF2"/>
    <w:rsid w:val="00A735B8"/>
    <w:rsid w:val="00BE05AF"/>
    <w:rsid w:val="00C732ED"/>
    <w:rsid w:val="00CE193A"/>
    <w:rsid w:val="00D37778"/>
    <w:rsid w:val="00DA5706"/>
    <w:rsid w:val="00E55E9B"/>
    <w:rsid w:val="00F474EF"/>
    <w:rsid w:val="00F52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1C5C24"/>
  <w14:defaultImageDpi w14:val="32767"/>
  <w15:docId w15:val="{6726CA89-DE13-4901-8834-A42A46BF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CH" w:eastAsia="en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275"/>
    <w:pPr>
      <w:suppressAutoHyphens/>
      <w:spacing w:after="120"/>
      <w:jc w:val="both"/>
    </w:pPr>
    <w:rPr>
      <w:lang w:val="en-GB" w:eastAsia="de-DE"/>
    </w:rPr>
  </w:style>
  <w:style w:type="paragraph" w:styleId="Heading1">
    <w:name w:val="heading 1"/>
    <w:basedOn w:val="Normal"/>
    <w:next w:val="Heading2"/>
    <w:link w:val="Heading1Char"/>
    <w:uiPriority w:val="99"/>
    <w:qFormat/>
    <w:rsid w:val="00925275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2"/>
      <w:sz w:val="24"/>
      <w:szCs w:val="32"/>
    </w:rPr>
  </w:style>
  <w:style w:type="paragraph" w:styleId="Heading2">
    <w:name w:val="heading 2"/>
    <w:basedOn w:val="Normal"/>
    <w:next w:val="Heading3"/>
    <w:link w:val="Heading2Char"/>
    <w:uiPriority w:val="99"/>
    <w:qFormat/>
    <w:rsid w:val="00925275"/>
    <w:pPr>
      <w:keepNext/>
      <w:spacing w:before="240" w:after="240"/>
      <w:jc w:val="center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E03DB"/>
    <w:pPr>
      <w:keepNext/>
      <w:jc w:val="center"/>
      <w:outlineLvl w:val="2"/>
    </w:pPr>
    <w:rPr>
      <w:bCs/>
      <w:i/>
      <w:szCs w:val="24"/>
      <w:lang w:eastAsia="cs-CZ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F732E"/>
    <w:pPr>
      <w:keepNext/>
      <w:ind w:left="567" w:hanging="567"/>
      <w:outlineLvl w:val="3"/>
    </w:pPr>
    <w:rPr>
      <w:bCs/>
      <w:sz w:val="18"/>
      <w:szCs w:val="24"/>
      <w:lang w:eastAsia="cs-CZ"/>
    </w:rPr>
  </w:style>
  <w:style w:type="paragraph" w:styleId="Heading5">
    <w:name w:val="heading 5"/>
    <w:basedOn w:val="Heading6"/>
    <w:next w:val="Normal"/>
    <w:link w:val="Heading5Char"/>
    <w:uiPriority w:val="9"/>
    <w:unhideWhenUsed/>
    <w:qFormat/>
    <w:rsid w:val="00605A18"/>
    <w:pPr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77DA8"/>
    <w:pPr>
      <w:spacing w:after="60"/>
      <w:jc w:val="center"/>
      <w:outlineLvl w:val="5"/>
    </w:pPr>
    <w:rPr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qFormat/>
    <w:locked/>
    <w:rsid w:val="00925275"/>
    <w:rPr>
      <w:rFonts w:ascii="Arial" w:hAnsi="Arial" w:cs="Arial"/>
      <w:b/>
      <w:bCs/>
      <w:kern w:val="2"/>
      <w:sz w:val="24"/>
      <w:szCs w:val="32"/>
      <w:lang w:val="en-GB" w:eastAsia="de-DE"/>
    </w:rPr>
  </w:style>
  <w:style w:type="character" w:customStyle="1" w:styleId="Heading2Char">
    <w:name w:val="Heading 2 Char"/>
    <w:link w:val="Heading2"/>
    <w:uiPriority w:val="99"/>
    <w:qFormat/>
    <w:locked/>
    <w:rsid w:val="00925275"/>
    <w:rPr>
      <w:rFonts w:ascii="Arial" w:hAnsi="Arial" w:cs="Arial"/>
      <w:b/>
      <w:bCs/>
      <w:iCs/>
      <w:sz w:val="22"/>
      <w:szCs w:val="28"/>
      <w:lang w:val="en-GB" w:eastAsia="de-DE"/>
    </w:rPr>
  </w:style>
  <w:style w:type="character" w:customStyle="1" w:styleId="Heading3Char">
    <w:name w:val="Heading 3 Char"/>
    <w:link w:val="Heading3"/>
    <w:uiPriority w:val="99"/>
    <w:qFormat/>
    <w:locked/>
    <w:rsid w:val="002E03DB"/>
    <w:rPr>
      <w:bCs/>
      <w:i/>
      <w:sz w:val="22"/>
      <w:szCs w:val="24"/>
      <w:lang w:val="en-GB"/>
    </w:rPr>
  </w:style>
  <w:style w:type="character" w:customStyle="1" w:styleId="Heading4Char">
    <w:name w:val="Heading 4 Char"/>
    <w:link w:val="Heading4"/>
    <w:uiPriority w:val="99"/>
    <w:qFormat/>
    <w:locked/>
    <w:rsid w:val="00FF732E"/>
    <w:rPr>
      <w:bCs/>
      <w:sz w:val="18"/>
      <w:szCs w:val="24"/>
      <w:lang w:val="en-GB"/>
    </w:rPr>
  </w:style>
  <w:style w:type="character" w:customStyle="1" w:styleId="HTMLAddressChar">
    <w:name w:val="HTML Address Char"/>
    <w:link w:val="HTMLAddress"/>
    <w:uiPriority w:val="99"/>
    <w:semiHidden/>
    <w:qFormat/>
    <w:rsid w:val="005E6DCD"/>
    <w:rPr>
      <w:i/>
      <w:iCs/>
      <w:lang w:val="de-DE" w:eastAsia="de-DE"/>
    </w:rPr>
  </w:style>
  <w:style w:type="character" w:customStyle="1" w:styleId="Heading5Char">
    <w:name w:val="Heading 5 Char"/>
    <w:link w:val="Heading5"/>
    <w:uiPriority w:val="9"/>
    <w:qFormat/>
    <w:rsid w:val="00605A18"/>
    <w:rPr>
      <w:b/>
      <w:bCs/>
      <w:szCs w:val="22"/>
      <w:lang w:val="en-GB" w:eastAsia="de-DE"/>
    </w:rPr>
  </w:style>
  <w:style w:type="character" w:customStyle="1" w:styleId="Heading6Char">
    <w:name w:val="Heading 6 Char"/>
    <w:link w:val="Heading6"/>
    <w:uiPriority w:val="9"/>
    <w:qFormat/>
    <w:rsid w:val="00777DA8"/>
    <w:rPr>
      <w:rFonts w:eastAsia="Times New Roman" w:cs="Times New Roman"/>
      <w:bCs/>
      <w:szCs w:val="22"/>
      <w:lang w:val="de-DE" w:eastAsia="de-DE"/>
    </w:rPr>
  </w:style>
  <w:style w:type="character" w:customStyle="1" w:styleId="HeaderChar">
    <w:name w:val="Header Char"/>
    <w:link w:val="Header"/>
    <w:uiPriority w:val="99"/>
    <w:qFormat/>
    <w:rsid w:val="00D13351"/>
    <w:rPr>
      <w:lang w:val="en-GB" w:eastAsia="de-DE"/>
    </w:rPr>
  </w:style>
  <w:style w:type="character" w:customStyle="1" w:styleId="FooterChar">
    <w:name w:val="Footer Char"/>
    <w:link w:val="Footer"/>
    <w:uiPriority w:val="99"/>
    <w:qFormat/>
    <w:rsid w:val="00D13351"/>
    <w:rPr>
      <w:lang w:val="en-GB" w:eastAsia="de-DE"/>
    </w:rPr>
  </w:style>
  <w:style w:type="character" w:customStyle="1" w:styleId="BalloonTextChar">
    <w:name w:val="Balloon Text Char"/>
    <w:link w:val="BalloonText"/>
    <w:uiPriority w:val="99"/>
    <w:semiHidden/>
    <w:qFormat/>
    <w:rsid w:val="00C64DBE"/>
    <w:rPr>
      <w:rFonts w:ascii="Tahoma" w:hAnsi="Tahoma" w:cs="Tahoma"/>
      <w:sz w:val="16"/>
      <w:szCs w:val="16"/>
      <w:lang w:val="en-GB" w:eastAsia="de-DE"/>
    </w:rPr>
  </w:style>
  <w:style w:type="paragraph" w:customStyle="1" w:styleId="Heading">
    <w:name w:val="Heading"/>
    <w:basedOn w:val="Normal"/>
    <w:next w:val="BodyText"/>
    <w:qFormat/>
    <w:pPr>
      <w:keepNext/>
      <w:spacing w:before="24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Acknowledgement">
    <w:name w:val="Acknowledgement"/>
    <w:basedOn w:val="Normal"/>
    <w:qFormat/>
    <w:rsid w:val="00777DA8"/>
    <w:rPr>
      <w:i/>
    </w:rPr>
  </w:style>
  <w:style w:type="paragraph" w:styleId="HTMLAddress">
    <w:name w:val="HTML Address"/>
    <w:basedOn w:val="Normal"/>
    <w:link w:val="HTMLAddressChar"/>
    <w:uiPriority w:val="99"/>
    <w:semiHidden/>
    <w:unhideWhenUsed/>
    <w:qFormat/>
    <w:rsid w:val="005E6DCD"/>
    <w:rPr>
      <w:i/>
      <w:iCs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C64DBE"/>
    <w:pPr>
      <w:spacing w:after="0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C263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1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21E0AE-6DDE-4FDB-AD25-D0DA1D2E6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Materials Structure</vt:lpstr>
    </vt:vector>
  </TitlesOfParts>
  <Company>MFF UK</Company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Materials Structure</dc:title>
  <dc:subject/>
  <dc:creator>Uživatel systému Windows</dc:creator>
  <dc:description/>
  <cp:lastModifiedBy>Félix Eder</cp:lastModifiedBy>
  <cp:revision>6</cp:revision>
  <dcterms:created xsi:type="dcterms:W3CDTF">2025-05-07T12:02:00Z</dcterms:created>
  <dcterms:modified xsi:type="dcterms:W3CDTF">2025-05-08T06:12:00Z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