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FC18" w14:textId="77777777" w:rsidR="00742177" w:rsidRDefault="00000000">
      <w:pPr>
        <w:pStyle w:val="Ttulo1"/>
      </w:pPr>
      <w:r>
        <w:t>Benchmarking computational methods for crystal structure prediction using experimental enantiomer excess and precipitation data</w:t>
      </w:r>
    </w:p>
    <w:p w14:paraId="3B90E070" w14:textId="6F1C19ED" w:rsidR="00742177" w:rsidRDefault="00000000">
      <w:pPr>
        <w:pStyle w:val="Ttulo2"/>
        <w:rPr>
          <w:lang w:val="es-ES"/>
        </w:rPr>
      </w:pPr>
      <w:r>
        <w:rPr>
          <w:sz w:val="22"/>
          <w:szCs w:val="22"/>
          <w:u w:val="single"/>
          <w:lang w:val="es-ES"/>
        </w:rPr>
        <w:t>N. Vides</w:t>
      </w:r>
      <w:r>
        <w:rPr>
          <w:sz w:val="22"/>
          <w:szCs w:val="22"/>
          <w:vertAlign w:val="superscript"/>
          <w:lang w:val="es-ES"/>
        </w:rPr>
        <w:t>1</w:t>
      </w:r>
      <w:r>
        <w:rPr>
          <w:sz w:val="22"/>
          <w:szCs w:val="22"/>
          <w:lang w:val="es-ES"/>
        </w:rPr>
        <w:t>, E. J. Blancas</w:t>
      </w:r>
      <w:r>
        <w:rPr>
          <w:sz w:val="22"/>
          <w:szCs w:val="22"/>
          <w:vertAlign w:val="superscript"/>
          <w:lang w:val="es-ES"/>
        </w:rPr>
        <w:t>1</w:t>
      </w:r>
      <w:r>
        <w:rPr>
          <w:sz w:val="22"/>
          <w:szCs w:val="22"/>
          <w:lang w:val="es-ES"/>
        </w:rPr>
        <w:t xml:space="preserve">, </w:t>
      </w:r>
      <w:r w:rsidR="003B4C0C">
        <w:rPr>
          <w:sz w:val="22"/>
          <w:szCs w:val="22"/>
          <w:lang w:val="es-ES"/>
        </w:rPr>
        <w:t>J. A. Montero-García</w:t>
      </w:r>
      <w:r w:rsidR="003B4C0C" w:rsidRPr="002B585B">
        <w:rPr>
          <w:sz w:val="22"/>
          <w:szCs w:val="22"/>
          <w:vertAlign w:val="superscript"/>
          <w:lang w:val="es-ES"/>
        </w:rPr>
        <w:t>1</w:t>
      </w:r>
      <w:r w:rsidR="003B4C0C">
        <w:rPr>
          <w:sz w:val="22"/>
          <w:szCs w:val="22"/>
          <w:lang w:val="es-ES"/>
        </w:rPr>
        <w:t xml:space="preserve">, </w:t>
      </w:r>
      <w:r>
        <w:rPr>
          <w:sz w:val="22"/>
          <w:szCs w:val="22"/>
          <w:lang w:val="es-ES"/>
        </w:rPr>
        <w:t>J. M. Costa-Fernandez</w:t>
      </w:r>
      <w:r>
        <w:rPr>
          <w:sz w:val="22"/>
          <w:szCs w:val="22"/>
          <w:vertAlign w:val="superscript"/>
          <w:lang w:val="es-ES"/>
        </w:rPr>
        <w:t>1</w:t>
      </w:r>
      <w:r>
        <w:rPr>
          <w:sz w:val="22"/>
          <w:szCs w:val="22"/>
          <w:lang w:val="es-ES"/>
        </w:rPr>
        <w:t>, V. del Amo</w:t>
      </w:r>
      <w:r>
        <w:rPr>
          <w:sz w:val="22"/>
          <w:szCs w:val="22"/>
          <w:vertAlign w:val="superscript"/>
          <w:lang w:val="es-ES"/>
        </w:rPr>
        <w:t>2</w:t>
      </w:r>
      <w:r>
        <w:rPr>
          <w:sz w:val="22"/>
          <w:szCs w:val="22"/>
          <w:lang w:val="es-ES"/>
        </w:rPr>
        <w:t>, C. Concellón</w:t>
      </w:r>
      <w:r>
        <w:rPr>
          <w:sz w:val="22"/>
          <w:szCs w:val="22"/>
          <w:vertAlign w:val="superscript"/>
          <w:lang w:val="es-ES"/>
        </w:rPr>
        <w:t>2</w:t>
      </w:r>
      <w:r>
        <w:rPr>
          <w:sz w:val="22"/>
          <w:szCs w:val="22"/>
          <w:lang w:val="es-ES"/>
        </w:rPr>
        <w:t xml:space="preserve"> and A. Otero-de-la-Roza</w:t>
      </w:r>
      <w:r>
        <w:rPr>
          <w:sz w:val="22"/>
          <w:szCs w:val="22"/>
          <w:vertAlign w:val="superscript"/>
          <w:lang w:val="es-ES"/>
        </w:rPr>
        <w:t>*1</w:t>
      </w:r>
    </w:p>
    <w:p w14:paraId="3FFEF99C" w14:textId="77777777" w:rsidR="00742177" w:rsidRDefault="00000000">
      <w:pPr>
        <w:pStyle w:val="Ttulo3"/>
      </w:pPr>
      <w:r>
        <w:rPr>
          <w:vertAlign w:val="superscript"/>
        </w:rPr>
        <w:t>1</w:t>
      </w:r>
      <w:r>
        <w:t xml:space="preserve">Department of Physical and Analytical Chemistry, University of Oviedo, C/ Julián </w:t>
      </w:r>
      <w:proofErr w:type="spellStart"/>
      <w:r>
        <w:t>Clavería</w:t>
      </w:r>
      <w:proofErr w:type="spellEnd"/>
      <w:r>
        <w:t xml:space="preserve"> 8, 33006 Oviedo, Spain,</w:t>
      </w:r>
      <w:r>
        <w:br/>
        <w:t xml:space="preserve"> </w:t>
      </w:r>
      <w:r>
        <w:rPr>
          <w:vertAlign w:val="superscript"/>
        </w:rPr>
        <w:t>2</w:t>
      </w:r>
      <w:r>
        <w:t xml:space="preserve">Department of Organic and Inorganic Chemistry, University of Oviedo, C/ Julián </w:t>
      </w:r>
      <w:proofErr w:type="spellStart"/>
      <w:r>
        <w:t>Clavería</w:t>
      </w:r>
      <w:proofErr w:type="spellEnd"/>
      <w:r>
        <w:t xml:space="preserve"> 8, 33006 Oviedo, Spain</w:t>
      </w:r>
    </w:p>
    <w:p w14:paraId="33BAB61B" w14:textId="77777777" w:rsidR="00742177" w:rsidRDefault="00000000">
      <w:pPr>
        <w:pStyle w:val="Ttulo3"/>
        <w:rPr>
          <w:sz w:val="18"/>
          <w:szCs w:val="18"/>
        </w:rPr>
      </w:pPr>
      <w:r>
        <w:t>Email of communicating: videsnuria@uniovi.es</w:t>
      </w:r>
      <w:r>
        <w:rPr>
          <w:lang w:eastAsia="de-DE"/>
        </w:rPr>
        <w:br/>
      </w:r>
    </w:p>
    <w:p w14:paraId="1CE8FAE2" w14:textId="77777777" w:rsidR="00742177" w:rsidRDefault="00000000">
      <w:r>
        <w:t xml:space="preserve">The accurate prediction of the experimentally observable crystal structure from the molecular diagram, a field known as </w:t>
      </w:r>
      <w:r>
        <w:rPr>
          <w:i/>
          <w:iCs/>
        </w:rPr>
        <w:t>crystal structure prediction</w:t>
      </w:r>
      <w:r>
        <w:t xml:space="preserve"> (CSP), remains a central challenge in computational chemistry [1]. CSP is intimately related to the study of polymorphism in organic molecular crystals, and has industrial and technological applications, particularly in the design of pharmaceutical formulations, agrochemical products, and organic electronic materials [2]. Ranking functions are crucial components of CSP protocols, comprising one or more computational approaches used to calculate relative lattice energies between candidate crystals. Since the success of the CSP protocol is closely tied to the accuracy of ranking methods, benchmarking their performance is essential [3]. However, this is difficult due to the lack of reference benchmark data in periodic crystals. In this work, we present a novel approach to benchmarking CSP methods using experimental molecular crystal solubility data. We developed and implemented an experimental protocol to extract thermodynamic free energy differences (ΔG) between crystal forms from solubility data, enabling the generation of high-quality benchmark data suitable for assessing the performance of various computational ranking functions. The relevance of the experimental ΔG is evaluated based on theoretical considerations and control experiments. The experimental data generated in this work is used to assess DFT-based computational methods, including vibrational contributions to the free energy. </w:t>
      </w:r>
      <w:proofErr w:type="gramStart"/>
      <w:r>
        <w:t>In particular, we</w:t>
      </w:r>
      <w:proofErr w:type="gramEnd"/>
      <w:r>
        <w:t xml:space="preserve"> examine how </w:t>
      </w:r>
      <w:r>
        <w:rPr>
          <w:i/>
          <w:iCs/>
        </w:rPr>
        <w:t>anharmonic effects</w:t>
      </w:r>
      <w:r>
        <w:t xml:space="preserve"> impact the calculation of relative free energies between crystal forms using our new implementation of Allen's quasiparticle theory [4]. Our results highlight the importance of appropriate benchmarking of CSP ranking methods and establish experimental solubility-derived equilibrium data as a robust and practical reference for validating computational methodologies. This work provides both a rigorous benchmarking framework and new insights into the thermodynamic modelling of molecular crystalline systems.</w:t>
      </w:r>
    </w:p>
    <w:p w14:paraId="30ED781C" w14:textId="77777777" w:rsidR="00742177" w:rsidRDefault="00000000">
      <w:r>
        <w:rPr>
          <w:noProof/>
        </w:rPr>
        <mc:AlternateContent>
          <mc:Choice Requires="wps">
            <w:drawing>
              <wp:anchor distT="0" distB="0" distL="0" distR="0" simplePos="0" relativeHeight="2" behindDoc="0" locked="0" layoutInCell="1" allowOverlap="1" wp14:anchorId="3E4D7163" wp14:editId="3C03AC05">
                <wp:simplePos x="0" y="0"/>
                <wp:positionH relativeFrom="column">
                  <wp:posOffset>0</wp:posOffset>
                </wp:positionH>
                <wp:positionV relativeFrom="paragraph">
                  <wp:posOffset>635</wp:posOffset>
                </wp:positionV>
                <wp:extent cx="635000" cy="635000"/>
                <wp:effectExtent l="0" t="0" r="0" b="0"/>
                <wp:wrapNone/>
                <wp:docPr id="1" name="_x0000_tole_rId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w:pict>
              <v:rect id="shape_0" ID="_x0000_tole_rId2" path="m0,0l-2147483645,0l-2147483645,-2147483646l0,-2147483646xe" stroked="f" o:allowincell="f" style="position:absolute;margin-left:0pt;margin-top:0pt;width:49.95pt;height:49.95pt;mso-wrap-style:none;v-text-anchor:middle" wp14:anchorId="134DE9DE">
                <v:fill o:detectmouseclick="t" on="false"/>
                <v:stroke color="#3465a4" joinstyle="round" endcap="flat"/>
                <w10:wrap type="none"/>
              </v:rect>
            </w:pict>
          </mc:Fallback>
        </mc:AlternateContent>
      </w:r>
    </w:p>
    <w:p w14:paraId="21259301" w14:textId="77777777" w:rsidR="00742177" w:rsidRDefault="00000000">
      <w:pPr>
        <w:pStyle w:val="Ttulo4"/>
        <w:ind w:left="0" w:firstLine="0"/>
        <w:rPr>
          <w:lang w:val="en-US"/>
        </w:rPr>
      </w:pPr>
      <w:r>
        <w:rPr>
          <w:lang w:val="en-US"/>
        </w:rPr>
        <w:t xml:space="preserve">[1] Hoja, J., Ko, H.-Y., Neumann, M. A., Car, R., </w:t>
      </w:r>
      <w:proofErr w:type="spellStart"/>
      <w:r>
        <w:rPr>
          <w:lang w:val="en-US"/>
        </w:rPr>
        <w:t>DiStasio</w:t>
      </w:r>
      <w:proofErr w:type="spellEnd"/>
      <w:r>
        <w:rPr>
          <w:lang w:val="en-US"/>
        </w:rPr>
        <w:t xml:space="preserve">, R. A., &amp; </w:t>
      </w:r>
      <w:proofErr w:type="spellStart"/>
      <w:r>
        <w:rPr>
          <w:lang w:val="en-US"/>
        </w:rPr>
        <w:t>Tkatchenko</w:t>
      </w:r>
      <w:proofErr w:type="spellEnd"/>
      <w:r>
        <w:rPr>
          <w:lang w:val="en-US"/>
        </w:rPr>
        <w:t xml:space="preserve">, A. (2019). </w:t>
      </w:r>
      <w:r>
        <w:rPr>
          <w:i/>
          <w:iCs/>
          <w:lang w:val="en-US"/>
        </w:rPr>
        <w:t>Sci. Adv</w:t>
      </w:r>
      <w:r>
        <w:rPr>
          <w:lang w:val="en-US"/>
        </w:rPr>
        <w:t xml:space="preserve">., </w:t>
      </w:r>
      <w:r>
        <w:rPr>
          <w:b/>
          <w:bCs w:val="0"/>
          <w:lang w:val="en-US"/>
        </w:rPr>
        <w:t>5(1)</w:t>
      </w:r>
      <w:r>
        <w:rPr>
          <w:lang w:val="en-US"/>
        </w:rPr>
        <w:t>, eaau3338.</w:t>
      </w:r>
    </w:p>
    <w:p w14:paraId="3985561F" w14:textId="77777777" w:rsidR="00742177" w:rsidRDefault="00000000">
      <w:pPr>
        <w:pStyle w:val="Ttulo4"/>
      </w:pPr>
      <w:r>
        <w:t xml:space="preserve">[2] </w:t>
      </w:r>
      <w:proofErr w:type="spellStart"/>
      <w:r>
        <w:t>Beran</w:t>
      </w:r>
      <w:proofErr w:type="spellEnd"/>
      <w:r>
        <w:t xml:space="preserve">, G. J. O. (2023). </w:t>
      </w:r>
      <w:r>
        <w:rPr>
          <w:i/>
          <w:iCs/>
        </w:rPr>
        <w:t>Chem. Sci.</w:t>
      </w:r>
      <w:r>
        <w:t xml:space="preserve">, </w:t>
      </w:r>
      <w:r>
        <w:rPr>
          <w:b/>
          <w:bCs w:val="0"/>
        </w:rPr>
        <w:t>14</w:t>
      </w:r>
      <w:r>
        <w:t>, 13290-13312.</w:t>
      </w:r>
    </w:p>
    <w:p w14:paraId="4B45A50C" w14:textId="77777777" w:rsidR="00742177" w:rsidRPr="003B4C0C" w:rsidRDefault="00000000">
      <w:pPr>
        <w:pStyle w:val="Ttulo4"/>
        <w:rPr>
          <w:lang w:val="es-ES"/>
        </w:rPr>
      </w:pPr>
      <w:r>
        <w:t xml:space="preserve">[3] </w:t>
      </w:r>
      <w:proofErr w:type="spellStart"/>
      <w:r>
        <w:t>Hunnisett</w:t>
      </w:r>
      <w:proofErr w:type="spellEnd"/>
      <w:r>
        <w:t xml:space="preserve">, L. M., Francia, N., Nyman, J., Abraham, N. S., </w:t>
      </w:r>
      <w:proofErr w:type="spellStart"/>
      <w:r>
        <w:t>Aitipamula</w:t>
      </w:r>
      <w:proofErr w:type="spellEnd"/>
      <w:r>
        <w:t xml:space="preserve">, S., </w:t>
      </w:r>
      <w:proofErr w:type="spellStart"/>
      <w:r>
        <w:t>Alkhidir</w:t>
      </w:r>
      <w:proofErr w:type="spellEnd"/>
      <w:r>
        <w:t xml:space="preserve">, T., </w:t>
      </w:r>
      <w:proofErr w:type="spellStart"/>
      <w:r>
        <w:t>Almehairbi</w:t>
      </w:r>
      <w:proofErr w:type="spellEnd"/>
      <w:r>
        <w:t xml:space="preserve">, M., </w:t>
      </w:r>
      <w:proofErr w:type="spellStart"/>
      <w:r>
        <w:t>Anelli</w:t>
      </w:r>
      <w:proofErr w:type="spellEnd"/>
      <w:r>
        <w:t xml:space="preserve">, A., </w:t>
      </w:r>
      <w:proofErr w:type="spellStart"/>
      <w:r>
        <w:t>Anstine</w:t>
      </w:r>
      <w:proofErr w:type="spellEnd"/>
      <w:r>
        <w:t xml:space="preserve">, D. M., Anthony, J. E. et al. (2024). </w:t>
      </w:r>
      <w:r w:rsidRPr="003B4C0C">
        <w:rPr>
          <w:i/>
          <w:iCs/>
          <w:lang w:val="es-ES"/>
        </w:rPr>
        <w:t xml:space="preserve">Acta </w:t>
      </w:r>
      <w:proofErr w:type="spellStart"/>
      <w:r w:rsidRPr="003B4C0C">
        <w:rPr>
          <w:i/>
          <w:iCs/>
          <w:lang w:val="es-ES"/>
        </w:rPr>
        <w:t>Crystallogr</w:t>
      </w:r>
      <w:proofErr w:type="spellEnd"/>
      <w:r w:rsidRPr="003B4C0C">
        <w:rPr>
          <w:i/>
          <w:iCs/>
          <w:lang w:val="es-ES"/>
        </w:rPr>
        <w:t>. B</w:t>
      </w:r>
      <w:r w:rsidRPr="003B4C0C">
        <w:rPr>
          <w:lang w:val="es-ES"/>
        </w:rPr>
        <w:t xml:space="preserve">, </w:t>
      </w:r>
      <w:r w:rsidRPr="003B4C0C">
        <w:rPr>
          <w:b/>
          <w:bCs w:val="0"/>
          <w:lang w:val="es-ES"/>
        </w:rPr>
        <w:t>80(6)</w:t>
      </w:r>
      <w:r w:rsidRPr="003B4C0C">
        <w:rPr>
          <w:lang w:val="es-ES"/>
        </w:rPr>
        <w:t>, 548-574.</w:t>
      </w:r>
    </w:p>
    <w:p w14:paraId="49D9A9A1" w14:textId="77777777" w:rsidR="00742177" w:rsidRDefault="00000000">
      <w:pPr>
        <w:pStyle w:val="Ttulo4"/>
        <w:ind w:left="0" w:firstLine="0"/>
      </w:pPr>
      <w:r w:rsidRPr="003B4C0C">
        <w:rPr>
          <w:lang w:val="es-ES"/>
        </w:rPr>
        <w:t xml:space="preserve">[4] Blancas, E. J., Lobato, A., Izquierdo-Ruiz, F., Márquez, A. M., Recio, J. M., </w:t>
      </w:r>
      <w:proofErr w:type="spellStart"/>
      <w:r w:rsidRPr="003B4C0C">
        <w:rPr>
          <w:lang w:val="es-ES"/>
        </w:rPr>
        <w:t>Nath</w:t>
      </w:r>
      <w:proofErr w:type="spellEnd"/>
      <w:r w:rsidRPr="003B4C0C">
        <w:rPr>
          <w:lang w:val="es-ES"/>
        </w:rPr>
        <w:t xml:space="preserve">, P., Plata, J. J., and Otero-de-la-Roza, A. (2024) </w:t>
      </w:r>
      <w:proofErr w:type="spellStart"/>
      <w:r w:rsidRPr="003B4C0C">
        <w:rPr>
          <w:i/>
          <w:iCs/>
          <w:lang w:val="es-ES"/>
        </w:rPr>
        <w:t>npj</w:t>
      </w:r>
      <w:proofErr w:type="spellEnd"/>
      <w:r w:rsidRPr="003B4C0C">
        <w:rPr>
          <w:i/>
          <w:iCs/>
          <w:lang w:val="es-ES"/>
        </w:rPr>
        <w:t xml:space="preserve"> </w:t>
      </w:r>
      <w:proofErr w:type="spellStart"/>
      <w:r w:rsidRPr="003B4C0C">
        <w:rPr>
          <w:i/>
          <w:iCs/>
          <w:lang w:val="es-ES"/>
        </w:rPr>
        <w:t>Comput</w:t>
      </w:r>
      <w:proofErr w:type="spellEnd"/>
      <w:r w:rsidRPr="003B4C0C">
        <w:rPr>
          <w:i/>
          <w:iCs/>
          <w:lang w:val="es-ES"/>
        </w:rPr>
        <w:t xml:space="preserve">. </w:t>
      </w:r>
      <w:r>
        <w:rPr>
          <w:i/>
          <w:iCs/>
        </w:rPr>
        <w:t>Mater.,</w:t>
      </w:r>
      <w:r>
        <w:t xml:space="preserve"> </w:t>
      </w:r>
      <w:r>
        <w:rPr>
          <w:b/>
        </w:rPr>
        <w:t>10</w:t>
      </w:r>
      <w:r>
        <w:t>, 267.</w:t>
      </w:r>
    </w:p>
    <w:sectPr w:rsidR="00742177">
      <w:headerReference w:type="even" r:id="rId7"/>
      <w:headerReference w:type="default" r:id="rId8"/>
      <w:footerReference w:type="even" r:id="rId9"/>
      <w:footerReference w:type="default" r:id="rId10"/>
      <w:headerReference w:type="first" r:id="rId11"/>
      <w:footerReference w:type="first" r:id="rId12"/>
      <w:pgSz w:w="12240" w:h="15840"/>
      <w:pgMar w:top="765" w:right="720" w:bottom="765" w:left="720" w:header="708" w:footer="708" w:gutter="0"/>
      <w:cols w:space="720"/>
      <w:formProt w:val="0"/>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B8DF" w14:textId="77777777" w:rsidR="00065332" w:rsidRDefault="00065332">
      <w:pPr>
        <w:spacing w:after="0"/>
      </w:pPr>
      <w:r>
        <w:separator/>
      </w:r>
    </w:p>
  </w:endnote>
  <w:endnote w:type="continuationSeparator" w:id="0">
    <w:p w14:paraId="70E70962" w14:textId="77777777" w:rsidR="00065332" w:rsidRDefault="00065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1"/>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D878" w14:textId="77777777" w:rsidR="00742177" w:rsidRDefault="007421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47A2" w14:textId="77777777" w:rsidR="00742177" w:rsidRDefault="00000000">
    <w:pPr>
      <w:pStyle w:val="Piedepgina"/>
    </w:pPr>
    <w:r>
      <w:t xml:space="preserve">Acta </w:t>
    </w:r>
    <w:proofErr w:type="spellStart"/>
    <w:r>
      <w:t>Cryst</w:t>
    </w:r>
    <w:proofErr w:type="spellEnd"/>
    <w:r>
      <w:t>. (2025). A81, e1</w:t>
    </w:r>
  </w:p>
  <w:p w14:paraId="08F8168E" w14:textId="77777777" w:rsidR="00742177" w:rsidRDefault="00742177">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7878" w14:textId="77777777" w:rsidR="00742177" w:rsidRDefault="00000000">
    <w:pPr>
      <w:pStyle w:val="Piedepgina"/>
    </w:pPr>
    <w:r>
      <w:t xml:space="preserve">Acta </w:t>
    </w:r>
    <w:proofErr w:type="spellStart"/>
    <w:r>
      <w:t>Cryst</w:t>
    </w:r>
    <w:proofErr w:type="spellEnd"/>
    <w:r>
      <w:t>. (2025). A81, e1</w:t>
    </w:r>
  </w:p>
  <w:p w14:paraId="2A6379B9" w14:textId="77777777" w:rsidR="00742177" w:rsidRDefault="0074217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82A2" w14:textId="77777777" w:rsidR="00065332" w:rsidRDefault="00065332">
      <w:pPr>
        <w:spacing w:after="0"/>
      </w:pPr>
      <w:r>
        <w:separator/>
      </w:r>
    </w:p>
  </w:footnote>
  <w:footnote w:type="continuationSeparator" w:id="0">
    <w:p w14:paraId="0CD53FE3" w14:textId="77777777" w:rsidR="00065332" w:rsidRDefault="000653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10E0" w14:textId="77777777" w:rsidR="00742177" w:rsidRDefault="007421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AC4A" w14:textId="77777777" w:rsidR="00742177" w:rsidRDefault="00000000">
    <w:pPr>
      <w:tabs>
        <w:tab w:val="center" w:pos="4703"/>
        <w:tab w:val="right" w:pos="9406"/>
      </w:tabs>
    </w:pPr>
    <w:r>
      <w:rPr>
        <w:b/>
        <w:bCs/>
      </w:rPr>
      <w:t>MS</w:t>
    </w:r>
    <w:r>
      <w:tab/>
    </w:r>
    <w:proofErr w:type="spellStart"/>
    <w:r>
      <w:rPr>
        <w:b/>
        <w:bCs/>
      </w:rPr>
      <w:t>Microsymposium</w:t>
    </w:r>
    <w:proofErr w:type="spellEnd"/>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C12E" w14:textId="77777777" w:rsidR="00742177"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77"/>
    <w:rsid w:val="00065332"/>
    <w:rsid w:val="000E21EE"/>
    <w:rsid w:val="003B4C0C"/>
    <w:rsid w:val="00742177"/>
    <w:rsid w:val="007C77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C3E981D"/>
  <w15:docId w15:val="{A5D44FE7-A49A-7A4E-BC05-F446945D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tulo1">
    <w:name w:val="heading 1"/>
    <w:basedOn w:val="Normal"/>
    <w:next w:val="Ttulo2"/>
    <w:link w:val="Ttulo1C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
    <w:uiPriority w:val="99"/>
    <w:qFormat/>
    <w:rsid w:val="002E03DB"/>
    <w:pPr>
      <w:keepNext/>
      <w:jc w:val="center"/>
      <w:outlineLvl w:val="2"/>
    </w:pPr>
    <w:rPr>
      <w:bCs/>
      <w:i/>
      <w:szCs w:val="24"/>
      <w:lang w:eastAsia="cs-CZ"/>
    </w:rPr>
  </w:style>
  <w:style w:type="paragraph" w:styleId="Ttulo4">
    <w:name w:val="heading 4"/>
    <w:basedOn w:val="Normal"/>
    <w:next w:val="Normal"/>
    <w:link w:val="Ttulo4C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
    <w:uiPriority w:val="9"/>
    <w:unhideWhenUsed/>
    <w:qFormat/>
    <w:rsid w:val="00605A18"/>
    <w:pPr>
      <w:outlineLvl w:val="4"/>
    </w:pPr>
    <w:rPr>
      <w:b/>
    </w:rPr>
  </w:style>
  <w:style w:type="paragraph" w:styleId="Ttulo6">
    <w:name w:val="heading 6"/>
    <w:basedOn w:val="Normal"/>
    <w:next w:val="Normal"/>
    <w:link w:val="Ttulo6Car"/>
    <w:uiPriority w:val="9"/>
    <w:unhideWhenUsed/>
    <w:qFormat/>
    <w:rsid w:val="00777DA8"/>
    <w:pPr>
      <w:spacing w:after="60"/>
      <w:jc w:val="center"/>
      <w:outlineLvl w:val="5"/>
    </w:pPr>
    <w:rPr>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qFormat/>
    <w:locked/>
    <w:rsid w:val="00925275"/>
    <w:rPr>
      <w:rFonts w:ascii="Arial" w:hAnsi="Arial" w:cs="Arial"/>
      <w:b/>
      <w:bCs/>
      <w:kern w:val="2"/>
      <w:sz w:val="24"/>
      <w:szCs w:val="32"/>
      <w:lang w:val="en-GB" w:eastAsia="de-DE"/>
    </w:rPr>
  </w:style>
  <w:style w:type="character" w:customStyle="1" w:styleId="Ttulo2Car">
    <w:name w:val="Título 2 Car"/>
    <w:link w:val="Ttulo2"/>
    <w:uiPriority w:val="99"/>
    <w:qFormat/>
    <w:locked/>
    <w:rsid w:val="00925275"/>
    <w:rPr>
      <w:rFonts w:ascii="Arial" w:hAnsi="Arial" w:cs="Arial"/>
      <w:b/>
      <w:bCs/>
      <w:iCs/>
      <w:sz w:val="22"/>
      <w:szCs w:val="28"/>
      <w:lang w:val="en-GB" w:eastAsia="de-DE"/>
    </w:rPr>
  </w:style>
  <w:style w:type="character" w:customStyle="1" w:styleId="Ttulo3Car">
    <w:name w:val="Título 3 Car"/>
    <w:link w:val="Ttulo3"/>
    <w:uiPriority w:val="99"/>
    <w:qFormat/>
    <w:locked/>
    <w:rsid w:val="002E03DB"/>
    <w:rPr>
      <w:bCs/>
      <w:i/>
      <w:sz w:val="22"/>
      <w:szCs w:val="24"/>
      <w:lang w:val="en-GB"/>
    </w:rPr>
  </w:style>
  <w:style w:type="character" w:customStyle="1" w:styleId="Ttulo4Car">
    <w:name w:val="Título 4 Car"/>
    <w:link w:val="Ttulo4"/>
    <w:uiPriority w:val="99"/>
    <w:qFormat/>
    <w:locked/>
    <w:rsid w:val="00FF732E"/>
    <w:rPr>
      <w:bCs/>
      <w:sz w:val="18"/>
      <w:szCs w:val="24"/>
      <w:lang w:val="en-GB"/>
    </w:rPr>
  </w:style>
  <w:style w:type="character" w:customStyle="1" w:styleId="DireccinHTMLCar">
    <w:name w:val="Dirección HTML Car"/>
    <w:link w:val="DireccinHTML"/>
    <w:uiPriority w:val="99"/>
    <w:semiHidden/>
    <w:qFormat/>
    <w:rsid w:val="005E6DCD"/>
    <w:rPr>
      <w:i/>
      <w:iCs/>
      <w:lang w:val="de-DE" w:eastAsia="de-DE"/>
    </w:rPr>
  </w:style>
  <w:style w:type="character" w:customStyle="1" w:styleId="Ttulo5Car">
    <w:name w:val="Título 5 Car"/>
    <w:link w:val="Ttulo5"/>
    <w:uiPriority w:val="9"/>
    <w:qFormat/>
    <w:rsid w:val="00605A18"/>
    <w:rPr>
      <w:b/>
      <w:bCs/>
      <w:szCs w:val="22"/>
      <w:lang w:val="en-GB" w:eastAsia="de-DE"/>
    </w:rPr>
  </w:style>
  <w:style w:type="character" w:customStyle="1" w:styleId="Ttulo6Car">
    <w:name w:val="Título 6 Car"/>
    <w:link w:val="Ttulo6"/>
    <w:uiPriority w:val="9"/>
    <w:qFormat/>
    <w:rsid w:val="00777DA8"/>
    <w:rPr>
      <w:rFonts w:eastAsia="Times New Roman" w:cs="Times New Roman"/>
      <w:bCs/>
      <w:szCs w:val="22"/>
      <w:lang w:val="de-DE" w:eastAsia="de-DE"/>
    </w:rPr>
  </w:style>
  <w:style w:type="character" w:customStyle="1" w:styleId="EncabezadoCar">
    <w:name w:val="Encabezado Car"/>
    <w:link w:val="Encabezado"/>
    <w:uiPriority w:val="99"/>
    <w:qFormat/>
    <w:rsid w:val="00D13351"/>
    <w:rPr>
      <w:lang w:val="en-GB" w:eastAsia="de-DE"/>
    </w:rPr>
  </w:style>
  <w:style w:type="character" w:customStyle="1" w:styleId="PiedepginaCar">
    <w:name w:val="Pie de página Car"/>
    <w:link w:val="Piedepgina"/>
    <w:uiPriority w:val="99"/>
    <w:qFormat/>
    <w:rsid w:val="00D13351"/>
    <w:rPr>
      <w:lang w:val="en-GB" w:eastAsia="de-DE"/>
    </w:rPr>
  </w:style>
  <w:style w:type="character" w:customStyle="1" w:styleId="TextodegloboCar">
    <w:name w:val="Texto de globo Car"/>
    <w:link w:val="Textodeglobo"/>
    <w:uiPriority w:val="99"/>
    <w:semiHidden/>
    <w:qFormat/>
    <w:rsid w:val="00C64DBE"/>
    <w:rPr>
      <w:rFonts w:ascii="Tahoma" w:hAnsi="Tahoma" w:cs="Tahoma"/>
      <w:sz w:val="16"/>
      <w:szCs w:val="16"/>
      <w:lang w:val="en-GB" w:eastAsia="de-DE"/>
    </w:rPr>
  </w:style>
  <w:style w:type="paragraph" w:customStyle="1" w:styleId="Heading">
    <w:name w:val="Heading"/>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DireccinHTML">
    <w:name w:val="HTML Address"/>
    <w:basedOn w:val="Normal"/>
    <w:link w:val="DireccinHTMLCar"/>
    <w:uiPriority w:val="99"/>
    <w:semiHidden/>
    <w:unhideWhenUsed/>
    <w:qFormat/>
    <w:rsid w:val="005E6DCD"/>
    <w:rPr>
      <w:i/>
      <w:iC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3351"/>
    <w:pPr>
      <w:tabs>
        <w:tab w:val="center" w:pos="4536"/>
        <w:tab w:val="right" w:pos="9072"/>
      </w:tabs>
    </w:pPr>
  </w:style>
  <w:style w:type="paragraph" w:styleId="Piedepgina">
    <w:name w:val="footer"/>
    <w:basedOn w:val="Normal"/>
    <w:link w:val="PiedepginaCar"/>
    <w:uiPriority w:val="99"/>
    <w:unhideWhenUsed/>
    <w:rsid w:val="00D13351"/>
    <w:pPr>
      <w:tabs>
        <w:tab w:val="center" w:pos="4536"/>
        <w:tab w:val="right" w:pos="9072"/>
      </w:tabs>
    </w:pPr>
  </w:style>
  <w:style w:type="paragraph" w:styleId="Textodeglobo">
    <w:name w:val="Balloon Text"/>
    <w:basedOn w:val="Normal"/>
    <w:link w:val="TextodegloboCar"/>
    <w:uiPriority w:val="99"/>
    <w:semiHidden/>
    <w:unhideWhenUsed/>
    <w:qFormat/>
    <w:rsid w:val="00C64DBE"/>
    <w:pPr>
      <w:spacing w:after="0"/>
    </w:pPr>
    <w:rPr>
      <w:rFonts w:ascii="Tahoma" w:hAnsi="Tahoma" w:cs="Tahoma"/>
      <w:sz w:val="16"/>
      <w:szCs w:val="16"/>
    </w:rPr>
  </w:style>
  <w:style w:type="table" w:styleId="Tablaconcuadrcula">
    <w:name w:val="Table Grid"/>
    <w:basedOn w:val="Tabla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Nuria Vides Garcia</cp:lastModifiedBy>
  <cp:revision>3</cp:revision>
  <cp:lastPrinted>2025-05-07T07:47:00Z</cp:lastPrinted>
  <dcterms:created xsi:type="dcterms:W3CDTF">2025-05-07T07:47:00Z</dcterms:created>
  <dcterms:modified xsi:type="dcterms:W3CDTF">2025-05-07T08:38:00Z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