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A445A" w14:textId="0FAC3013" w:rsidR="00AD27DB" w:rsidRDefault="0008007D">
      <w:pPr>
        <w:pStyle w:val="Nagwek1"/>
      </w:pPr>
      <w:r>
        <w:t>Complementarity</w:t>
      </w:r>
      <w:r w:rsidR="00437BB0">
        <w:t xml:space="preserve"> of PXRD and </w:t>
      </w:r>
      <w:proofErr w:type="spellStart"/>
      <w:r w:rsidR="00437BB0">
        <w:t>ssNMR</w:t>
      </w:r>
      <w:proofErr w:type="spellEnd"/>
      <w:r w:rsidR="00437BB0">
        <w:t xml:space="preserve"> in structure solution of meloxicam multicomponent crystals</w:t>
      </w:r>
    </w:p>
    <w:p w14:paraId="2CDD1ADF" w14:textId="1480E238" w:rsidR="00AD27DB" w:rsidRPr="002E48C0" w:rsidRDefault="00BE47AF">
      <w:pPr>
        <w:pStyle w:val="Nagwek2"/>
        <w:rPr>
          <w:lang w:val="pl-PL"/>
        </w:rPr>
      </w:pPr>
      <w:r w:rsidRPr="002E48C0">
        <w:rPr>
          <w:lang w:val="pl-PL"/>
        </w:rPr>
        <w:t>P. Nowak</w:t>
      </w:r>
      <w:r w:rsidRPr="002E48C0">
        <w:rPr>
          <w:vertAlign w:val="superscript"/>
          <w:lang w:val="pl-PL"/>
        </w:rPr>
        <w:t>1,2</w:t>
      </w:r>
      <w:r w:rsidRPr="002E48C0">
        <w:rPr>
          <w:lang w:val="pl-PL"/>
        </w:rPr>
        <w:t>, A. Jeziorna</w:t>
      </w:r>
      <w:r w:rsidRPr="002E48C0">
        <w:rPr>
          <w:vertAlign w:val="superscript"/>
          <w:lang w:val="pl-PL"/>
        </w:rPr>
        <w:t>1</w:t>
      </w:r>
      <w:r w:rsidRPr="002E48C0">
        <w:rPr>
          <w:lang w:val="pl-PL"/>
        </w:rPr>
        <w:t>, M. Oszajca</w:t>
      </w:r>
      <w:r w:rsidRPr="002E48C0">
        <w:rPr>
          <w:vertAlign w:val="superscript"/>
          <w:lang w:val="pl-PL"/>
        </w:rPr>
        <w:t>3</w:t>
      </w:r>
      <w:r w:rsidRPr="002E48C0">
        <w:rPr>
          <w:lang w:val="pl-PL"/>
        </w:rPr>
        <w:t>, P. Paluch</w:t>
      </w:r>
      <w:r w:rsidRPr="002E48C0">
        <w:rPr>
          <w:vertAlign w:val="superscript"/>
          <w:lang w:val="pl-PL"/>
        </w:rPr>
        <w:t>1</w:t>
      </w:r>
      <w:r w:rsidRPr="002E48C0">
        <w:rPr>
          <w:lang w:val="pl-PL"/>
        </w:rPr>
        <w:t>, M. K. Dudek</w:t>
      </w:r>
      <w:r w:rsidRPr="002E48C0">
        <w:rPr>
          <w:vertAlign w:val="superscript"/>
          <w:lang w:val="pl-PL"/>
        </w:rPr>
        <w:t>1</w:t>
      </w:r>
      <w:r w:rsidRPr="002E48C0">
        <w:rPr>
          <w:lang w:val="pl-PL"/>
        </w:rPr>
        <w:t xml:space="preserve"> </w:t>
      </w:r>
    </w:p>
    <w:p w14:paraId="395C9F40" w14:textId="3078B5F3" w:rsidR="00AD27DB" w:rsidRDefault="00000000">
      <w:pPr>
        <w:pStyle w:val="Nagwek3"/>
      </w:pPr>
      <w:r>
        <w:rPr>
          <w:vertAlign w:val="superscript"/>
        </w:rPr>
        <w:t>1</w:t>
      </w:r>
      <w:r w:rsidR="00BE47AF">
        <w:t xml:space="preserve">Center of Molecular and Macromolecular Studies PAS, </w:t>
      </w:r>
      <w:proofErr w:type="spellStart"/>
      <w:r w:rsidR="00BE47AF">
        <w:t>Sienkiewicza</w:t>
      </w:r>
      <w:proofErr w:type="spellEnd"/>
      <w:r w:rsidR="00BE47AF">
        <w:t xml:space="preserve"> 112,90-363 </w:t>
      </w:r>
      <w:proofErr w:type="spellStart"/>
      <w:r w:rsidR="00BE47AF">
        <w:t>Łódź</w:t>
      </w:r>
      <w:proofErr w:type="spellEnd"/>
      <w:r>
        <w:t xml:space="preserve">, </w:t>
      </w:r>
      <w:r>
        <w:rPr>
          <w:vertAlign w:val="superscript"/>
        </w:rPr>
        <w:t>2</w:t>
      </w:r>
      <w:r w:rsidR="00BE47AF">
        <w:t xml:space="preserve">BioMedChem Doctoral School of University of Lodz and Lodz Institutes of PAS, </w:t>
      </w:r>
      <w:proofErr w:type="spellStart"/>
      <w:r w:rsidR="00BE47AF">
        <w:t>Matejki</w:t>
      </w:r>
      <w:proofErr w:type="spellEnd"/>
      <w:r w:rsidR="00BE47AF">
        <w:t xml:space="preserve"> 21/23, 90-237 </w:t>
      </w:r>
      <w:proofErr w:type="spellStart"/>
      <w:r w:rsidR="00BE47AF">
        <w:t>Łódź</w:t>
      </w:r>
      <w:proofErr w:type="spellEnd"/>
      <w:r w:rsidR="00BE47AF">
        <w:t xml:space="preserve">,  </w:t>
      </w:r>
      <w:r w:rsidR="00BE47AF" w:rsidRPr="00BE47AF">
        <w:rPr>
          <w:vertAlign w:val="superscript"/>
        </w:rPr>
        <w:t>3</w:t>
      </w:r>
      <w:r w:rsidR="00BE47AF">
        <w:t>Faculty of Chemistry, Jagiellonian University in Kraków,</w:t>
      </w:r>
      <w:r w:rsidR="00BE47AF" w:rsidRPr="00BE47AF">
        <w:t xml:space="preserve"> </w:t>
      </w:r>
      <w:proofErr w:type="spellStart"/>
      <w:r w:rsidR="00BE47AF" w:rsidRPr="00BE47AF">
        <w:t>Gronostajowa</w:t>
      </w:r>
      <w:proofErr w:type="spellEnd"/>
      <w:r w:rsidR="00BE47AF" w:rsidRPr="00BE47AF">
        <w:t xml:space="preserve"> 2, 30-387 Krakó</w:t>
      </w:r>
      <w:r w:rsidR="00BE47AF">
        <w:t xml:space="preserve">w </w:t>
      </w:r>
    </w:p>
    <w:p w14:paraId="3156239B" w14:textId="7AA6A388" w:rsidR="00AD27DB" w:rsidRDefault="00BE47AF">
      <w:pPr>
        <w:pStyle w:val="Nagwek3"/>
        <w:rPr>
          <w:sz w:val="18"/>
          <w:szCs w:val="18"/>
        </w:rPr>
      </w:pPr>
      <w:r>
        <w:t>przemyslaw.nowak@edu.uni.lodz.pl</w:t>
      </w:r>
      <w:r>
        <w:rPr>
          <w:lang w:eastAsia="de-DE"/>
        </w:rPr>
        <w:br/>
      </w:r>
    </w:p>
    <w:p w14:paraId="429E6DFD" w14:textId="6470F8CF" w:rsidR="00AD27DB" w:rsidRDefault="0008007D">
      <w:r>
        <w:t xml:space="preserve">Meloxicam is an anti-inflammatory drug used for the bone and joint pain treatment and is found to </w:t>
      </w:r>
      <w:r w:rsidR="002B00FF">
        <w:t>have</w:t>
      </w:r>
      <w:r>
        <w:t xml:space="preserve"> 4 polymorphic forms, but only the first one is easy to crystallize</w:t>
      </w:r>
      <w:r w:rsidR="004F77BF">
        <w:t xml:space="preserve"> [1]. </w:t>
      </w:r>
      <w:r>
        <w:t xml:space="preserve">Formation of the multicomponent crystals of meloxicam </w:t>
      </w:r>
      <w:r w:rsidR="00BE47AF">
        <w:t>with</w:t>
      </w:r>
      <w:r>
        <w:t xml:space="preserve"> easily-sublim</w:t>
      </w:r>
      <w:r w:rsidR="002B00FF">
        <w:t>ating</w:t>
      </w:r>
      <w:r>
        <w:t xml:space="preserve"> </w:t>
      </w:r>
      <w:proofErr w:type="spellStart"/>
      <w:r>
        <w:t>coformers</w:t>
      </w:r>
      <w:proofErr w:type="spellEnd"/>
      <w:r w:rsidR="002B00FF">
        <w:t>,</w:t>
      </w:r>
      <w:r>
        <w:t xml:space="preserve"> like pyrazine or imidazole</w:t>
      </w:r>
      <w:r w:rsidR="002B00FF">
        <w:t>,</w:t>
      </w:r>
      <w:r>
        <w:t xml:space="preserve"> is a crucial part of a new way </w:t>
      </w:r>
      <w:r w:rsidR="002B00FF">
        <w:t>of</w:t>
      </w:r>
      <w:r>
        <w:t xml:space="preserve"> crystallization difficult to obtain </w:t>
      </w:r>
      <w:r w:rsidR="002B00FF">
        <w:t xml:space="preserve">(elusive) </w:t>
      </w:r>
      <w:r>
        <w:t>polymorphs of meloxicam</w:t>
      </w:r>
      <w:r w:rsidR="004F77BF">
        <w:t>.</w:t>
      </w:r>
      <w:r w:rsidR="002B00FF">
        <w:t xml:space="preserve"> However,</w:t>
      </w:r>
      <w:r>
        <w:t xml:space="preserve"> to fully understand th</w:t>
      </w:r>
      <w:r w:rsidR="002B00FF">
        <w:t>is</w:t>
      </w:r>
      <w:r>
        <w:t xml:space="preserve"> process</w:t>
      </w:r>
      <w:r w:rsidR="002B00FF">
        <w:t>, as well as to be able to rationally design such binary forms in the future</w:t>
      </w:r>
      <w:r>
        <w:t xml:space="preserve">, </w:t>
      </w:r>
      <w:r w:rsidR="002B00FF">
        <w:t xml:space="preserve">unveiling </w:t>
      </w:r>
      <w:r>
        <w:t>the</w:t>
      </w:r>
      <w:r w:rsidR="002B00FF">
        <w:t xml:space="preserve"> crystal</w:t>
      </w:r>
      <w:r>
        <w:t xml:space="preserve"> structures of these systems is required. </w:t>
      </w:r>
      <w:r w:rsidR="002B00FF">
        <w:t>In the case of the studied systems</w:t>
      </w:r>
      <w:r>
        <w:t xml:space="preserve"> Liquid Assisted Grinding (LAG) or </w:t>
      </w:r>
      <w:r w:rsidR="00BE47AF">
        <w:t>heating</w:t>
      </w:r>
      <w:r>
        <w:t xml:space="preserve"> w</w:t>
      </w:r>
      <w:r w:rsidR="002B00FF">
        <w:t>ere</w:t>
      </w:r>
      <w:r>
        <w:t xml:space="preserve"> chosen to obtain multicomponent crystals of meloxicam due to the low solubility of </w:t>
      </w:r>
      <w:r w:rsidR="00BE47AF">
        <w:t xml:space="preserve">the </w:t>
      </w:r>
      <w:r>
        <w:t>API</w:t>
      </w:r>
      <w:r w:rsidR="002B00FF">
        <w:t xml:space="preserve"> in the majority of organic solvents</w:t>
      </w:r>
      <w:r>
        <w:t xml:space="preserve">. </w:t>
      </w:r>
      <w:r w:rsidR="002B00FF">
        <w:t>Unfortunately, both</w:t>
      </w:r>
      <w:r>
        <w:t xml:space="preserve"> methods</w:t>
      </w:r>
      <w:r w:rsidR="002B00FF">
        <w:t xml:space="preserve"> lead to the formation of</w:t>
      </w:r>
      <w:r>
        <w:t xml:space="preserve"> powder</w:t>
      </w:r>
      <w:r w:rsidR="002B00FF">
        <w:t>ed</w:t>
      </w:r>
      <w:r>
        <w:t xml:space="preserve"> crystal phase</w:t>
      </w:r>
      <w:r w:rsidR="002B00FF">
        <w:t>,</w:t>
      </w:r>
      <w:r>
        <w:t xml:space="preserve"> and several recrystallization attempts</w:t>
      </w:r>
      <w:r w:rsidR="00BE47AF">
        <w:t xml:space="preserve"> to obtain monocrystals</w:t>
      </w:r>
      <w:r>
        <w:t xml:space="preserve"> with a solvent-based technique </w:t>
      </w:r>
      <w:r w:rsidR="00BE47AF">
        <w:t>failed</w:t>
      </w:r>
      <w:r>
        <w:t xml:space="preserve">. In this work, we investigate </w:t>
      </w:r>
      <w:r w:rsidR="00323B90">
        <w:t xml:space="preserve">the </w:t>
      </w:r>
      <w:r>
        <w:t xml:space="preserve">crystal structures of </w:t>
      </w:r>
      <w:r w:rsidR="00323B90">
        <w:t xml:space="preserve">1:0.5 </w:t>
      </w:r>
      <w:proofErr w:type="spellStart"/>
      <w:r>
        <w:t>meloxicam</w:t>
      </w:r>
      <w:r w:rsidR="00323B90">
        <w:t>:</w:t>
      </w:r>
      <w:r>
        <w:t>pyrazine</w:t>
      </w:r>
      <w:proofErr w:type="spellEnd"/>
      <w:r w:rsidR="00323B90">
        <w:t>,</w:t>
      </w:r>
      <w:r>
        <w:t xml:space="preserve"> and </w:t>
      </w:r>
      <w:r w:rsidR="00323B90">
        <w:t xml:space="preserve">1:1 and 1:2 </w:t>
      </w:r>
      <w:proofErr w:type="spellStart"/>
      <w:r w:rsidR="00323B90">
        <w:t>meloxicam:</w:t>
      </w:r>
      <w:r>
        <w:t>imidazole</w:t>
      </w:r>
      <w:proofErr w:type="spellEnd"/>
      <w:r>
        <w:t xml:space="preserve"> </w:t>
      </w:r>
      <w:r w:rsidR="00323B90">
        <w:t xml:space="preserve">binaries </w:t>
      </w:r>
      <w:r>
        <w:t xml:space="preserve"> with PXRD and </w:t>
      </w:r>
      <w:proofErr w:type="spellStart"/>
      <w:r>
        <w:t>ssNM</w:t>
      </w:r>
      <w:r w:rsidR="00323B90">
        <w:t>R</w:t>
      </w:r>
      <w:proofErr w:type="spellEnd"/>
      <w:r>
        <w:t xml:space="preserve"> as </w:t>
      </w:r>
      <w:r w:rsidR="00BE47AF">
        <w:t>a complementary method</w:t>
      </w:r>
      <w:r>
        <w:t xml:space="preserve">. </w:t>
      </w:r>
      <w:r w:rsidR="00323B90">
        <w:t xml:space="preserve">In particular, </w:t>
      </w:r>
      <w:r w:rsidR="00C5581A">
        <w:t xml:space="preserve">the registered diffractograms were used to index the unit cells and molecular dynamics (MD) calculations were performed to solve the structures, while </w:t>
      </w:r>
      <w:r w:rsidR="00323B90">
        <w:t>s</w:t>
      </w:r>
      <w:r>
        <w:t xml:space="preserve">olid-state NMR measurements </w:t>
      </w:r>
      <w:r w:rsidR="00323B90">
        <w:t>at</w:t>
      </w:r>
      <w:r>
        <w:t xml:space="preserve"> two different magnetic field</w:t>
      </w:r>
      <w:r w:rsidR="00323B90">
        <w:t xml:space="preserve"> </w:t>
      </w:r>
      <w:r w:rsidR="00C5581A">
        <w:t>strengths</w:t>
      </w:r>
      <w:r>
        <w:t xml:space="preserve"> were used to </w:t>
      </w:r>
      <w:r w:rsidR="00323B90">
        <w:t xml:space="preserve">unambiguously </w:t>
      </w:r>
      <w:r>
        <w:t xml:space="preserve">establish </w:t>
      </w:r>
      <w:r w:rsidR="00323B90">
        <w:t xml:space="preserve">the </w:t>
      </w:r>
      <w:r>
        <w:t>protonation state in the aforementioned structures</w:t>
      </w:r>
      <w:r w:rsidR="007977A7">
        <w:t>.</w:t>
      </w:r>
      <w:r>
        <w:t xml:space="preserve"> </w:t>
      </w:r>
      <w:r w:rsidR="007977A7">
        <w:t xml:space="preserve">This was done </w:t>
      </w:r>
      <w:r>
        <w:t>bas</w:t>
      </w:r>
      <w:r w:rsidR="007977A7">
        <w:t>ing</w:t>
      </w:r>
      <w:r>
        <w:t xml:space="preserve"> on the quadrupolar </w:t>
      </w:r>
      <w:r w:rsidR="00323B90">
        <w:t>product values</w:t>
      </w:r>
      <w:r>
        <w:t xml:space="preserve"> (</w:t>
      </w:r>
      <w:r w:rsidR="00323B90">
        <w:t>P</w:t>
      </w:r>
      <w:r w:rsidRPr="004F77BF">
        <w:rPr>
          <w:vertAlign w:val="subscript"/>
        </w:rPr>
        <w:t>Q</w:t>
      </w:r>
      <w:r>
        <w:t>)</w:t>
      </w:r>
      <w:r w:rsidR="00323B90">
        <w:t xml:space="preserve"> extracted from the </w:t>
      </w:r>
      <w:r w:rsidR="00323B90" w:rsidRPr="004F77BF">
        <w:rPr>
          <w:vertAlign w:val="superscript"/>
        </w:rPr>
        <w:t>1</w:t>
      </w:r>
      <w:r w:rsidR="00323B90">
        <w:t>H-</w:t>
      </w:r>
      <w:r w:rsidR="00323B90" w:rsidRPr="004F77BF">
        <w:rPr>
          <w:vertAlign w:val="superscript"/>
        </w:rPr>
        <w:t>14</w:t>
      </w:r>
      <w:r w:rsidR="00323B90">
        <w:t>N T-HMQC experiments</w:t>
      </w:r>
      <w:r w:rsidR="007977A7">
        <w:t xml:space="preserve">, as well  as the detailed </w:t>
      </w:r>
      <w:r w:rsidR="007977A7" w:rsidRPr="004F77BF">
        <w:rPr>
          <w:vertAlign w:val="superscript"/>
        </w:rPr>
        <w:t>1</w:t>
      </w:r>
      <w:r w:rsidR="007977A7">
        <w:t xml:space="preserve">H signal assignment, possible due to performing the experiments at 1 GHz magnetic field (see Fig. 1 for </w:t>
      </w:r>
      <w:r w:rsidR="007977A7" w:rsidRPr="004F77BF">
        <w:rPr>
          <w:vertAlign w:val="superscript"/>
        </w:rPr>
        <w:t>1</w:t>
      </w:r>
      <w:r w:rsidR="007977A7">
        <w:t>H-</w:t>
      </w:r>
      <w:r w:rsidR="007977A7" w:rsidRPr="004F77BF">
        <w:rPr>
          <w:vertAlign w:val="superscript"/>
        </w:rPr>
        <w:t>1</w:t>
      </w:r>
      <w:r w:rsidR="007977A7">
        <w:t>H correlation spectrum)</w:t>
      </w:r>
      <w:r w:rsidR="00323B90">
        <w:t xml:space="preserve">. As a result, it was determined that in </w:t>
      </w:r>
      <w:proofErr w:type="spellStart"/>
      <w:r w:rsidR="00323B90">
        <w:t>meloxicam:pyrazine</w:t>
      </w:r>
      <w:proofErr w:type="spellEnd"/>
      <w:r w:rsidR="00323B90">
        <w:t xml:space="preserve"> cocrystal </w:t>
      </w:r>
      <w:r w:rsidR="00C5581A">
        <w:t>the API is present in a very unusual tautomeric form (Fig. 1), unprecedented before in any of meloxicam crystalline forms. For the two crystals of meloxicam with imidazole it was discovered that 1:1 form is a salt, while 1:2 from is a mixed salt-cocrystal, with one protonated imidazole molecule, and the other being in its natural form.</w:t>
      </w:r>
      <w:r w:rsidR="00BE47AF">
        <w:t xml:space="preserve"> </w:t>
      </w:r>
      <w:r>
        <w:t xml:space="preserve"> </w:t>
      </w:r>
      <w:r w:rsidR="00C5581A">
        <w:t xml:space="preserve"> This enabled the addition of the hydrogen atoms </w:t>
      </w:r>
      <w:r w:rsidR="007977A7">
        <w:t xml:space="preserve">at the appropriate sites in the crystals, </w:t>
      </w:r>
      <w:r w:rsidR="002A0F69">
        <w:t>leading to a successful</w:t>
      </w:r>
      <w:r>
        <w:t xml:space="preserve"> Rietveld refinement</w:t>
      </w:r>
      <w:r w:rsidR="002A0F69">
        <w:t>.</w:t>
      </w:r>
      <w:r>
        <w:t xml:space="preserve"> </w:t>
      </w:r>
      <w:r w:rsidR="002A0F69">
        <w:t>Thus, c</w:t>
      </w:r>
      <w:r>
        <w:t xml:space="preserve">ombining </w:t>
      </w:r>
      <w:r w:rsidR="002A0F69">
        <w:t xml:space="preserve">solid-state NMR </w:t>
      </w:r>
      <w:r>
        <w:t xml:space="preserve">spectroscopy with the </w:t>
      </w:r>
      <w:r w:rsidR="002A0F69">
        <w:t xml:space="preserve">powder </w:t>
      </w:r>
      <w:r>
        <w:t xml:space="preserve">X-ray </w:t>
      </w:r>
      <w:r w:rsidR="007977A7">
        <w:t xml:space="preserve">diffraction </w:t>
      </w:r>
      <w:r>
        <w:t>method</w:t>
      </w:r>
      <w:r w:rsidR="002A0F69">
        <w:t>s</w:t>
      </w:r>
      <w:r>
        <w:t xml:space="preserve"> allow</w:t>
      </w:r>
      <w:r w:rsidR="002A0F69">
        <w:t>ed</w:t>
      </w:r>
      <w:r>
        <w:t xml:space="preserve"> for a full description of </w:t>
      </w:r>
      <w:r w:rsidR="002A0F69">
        <w:t xml:space="preserve">the </w:t>
      </w:r>
      <w:r>
        <w:t>three new structures of meloxicam multicomponent crystals</w:t>
      </w:r>
      <w:r w:rsidR="00BE47AF">
        <w:t xml:space="preserve">. </w:t>
      </w:r>
    </w:p>
    <w:p w14:paraId="5F2B92E1" w14:textId="4D38E801" w:rsidR="00AD27DB" w:rsidRDefault="004F77BF">
      <w:pPr>
        <w:jc w:val="center"/>
      </w:pPr>
      <w:r>
        <w:rPr>
          <w:noProof/>
        </w:rPr>
        <w:t xml:space="preserve"> </w:t>
      </w:r>
      <w:r w:rsidR="002E48C0"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1E0764F" wp14:editId="19B180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3747440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D9AC0" id="_x0000_tole_rId2" o:spid="_x0000_s1026" style="position:absolute;margin-left:0;margin-top:0;width:50pt;height:50pt;z-index: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CA10A62" wp14:editId="0402B3D6">
            <wp:extent cx="6495536" cy="2472616"/>
            <wp:effectExtent l="0" t="0" r="635" b="4445"/>
            <wp:docPr id="171238550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690" cy="2496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012C22" w14:textId="69894164" w:rsidR="004F77BF" w:rsidRDefault="00000000" w:rsidP="004F77BF">
      <w:pPr>
        <w:pStyle w:val="Acknowledgement"/>
      </w:pPr>
      <w:r>
        <w:rPr>
          <w:b/>
        </w:rPr>
        <w:t>Figure 1</w:t>
      </w:r>
      <w:r>
        <w:t xml:space="preserve">. </w:t>
      </w:r>
      <w:r w:rsidR="004F77BF" w:rsidRPr="004F77BF">
        <w:rPr>
          <w:i w:val="0"/>
          <w:iCs/>
          <w:sz w:val="18"/>
          <w:szCs w:val="18"/>
          <w:vertAlign w:val="superscript"/>
        </w:rPr>
        <w:t>1</w:t>
      </w:r>
      <w:r w:rsidR="004F77BF" w:rsidRPr="004F77BF">
        <w:rPr>
          <w:i w:val="0"/>
          <w:iCs/>
          <w:sz w:val="18"/>
          <w:szCs w:val="18"/>
        </w:rPr>
        <w:t>H-</w:t>
      </w:r>
      <w:r w:rsidR="004F77BF" w:rsidRPr="004F77BF">
        <w:rPr>
          <w:i w:val="0"/>
          <w:iCs/>
          <w:sz w:val="18"/>
          <w:szCs w:val="18"/>
          <w:vertAlign w:val="superscript"/>
        </w:rPr>
        <w:t>1</w:t>
      </w:r>
      <w:r w:rsidR="004F77BF" w:rsidRPr="004F77BF">
        <w:rPr>
          <w:i w:val="0"/>
          <w:iCs/>
          <w:sz w:val="18"/>
          <w:szCs w:val="18"/>
        </w:rPr>
        <w:t>H DQ-SQ Back-to-Back spectrum registered at 1 GHz magnet</w:t>
      </w:r>
      <w:r w:rsidR="00BE47AF" w:rsidRPr="004F77BF">
        <w:rPr>
          <w:i w:val="0"/>
          <w:iCs/>
          <w:sz w:val="18"/>
          <w:szCs w:val="18"/>
        </w:rPr>
        <w:t xml:space="preserve"> (left) and comparison of </w:t>
      </w:r>
      <w:r w:rsidR="004F77BF" w:rsidRPr="004F77BF">
        <w:rPr>
          <w:i w:val="0"/>
          <w:iCs/>
          <w:sz w:val="18"/>
          <w:szCs w:val="18"/>
        </w:rPr>
        <w:t>the registered</w:t>
      </w:r>
      <w:r w:rsidR="002B00FF" w:rsidRPr="004F77BF">
        <w:rPr>
          <w:i w:val="0"/>
          <w:iCs/>
          <w:sz w:val="18"/>
          <w:szCs w:val="18"/>
        </w:rPr>
        <w:t xml:space="preserve"> </w:t>
      </w:r>
      <w:r w:rsidR="00BE47AF" w:rsidRPr="004F77BF">
        <w:rPr>
          <w:i w:val="0"/>
          <w:iCs/>
          <w:sz w:val="18"/>
          <w:szCs w:val="18"/>
        </w:rPr>
        <w:t xml:space="preserve">diffractogram with </w:t>
      </w:r>
      <w:r w:rsidR="004F77BF" w:rsidRPr="004F77BF">
        <w:rPr>
          <w:i w:val="0"/>
          <w:iCs/>
          <w:sz w:val="18"/>
          <w:szCs w:val="18"/>
        </w:rPr>
        <w:t xml:space="preserve">the </w:t>
      </w:r>
      <w:r w:rsidR="00BE47AF" w:rsidRPr="004F77BF">
        <w:rPr>
          <w:i w:val="0"/>
          <w:iCs/>
          <w:sz w:val="18"/>
          <w:szCs w:val="18"/>
        </w:rPr>
        <w:t>calculated after Rietveld refinement(right) for meloxicam-pyrazine cocrystal</w:t>
      </w:r>
      <w:r w:rsidR="002B00FF" w:rsidRPr="004F77BF">
        <w:rPr>
          <w:i w:val="0"/>
          <w:iCs/>
          <w:sz w:val="18"/>
          <w:szCs w:val="18"/>
        </w:rPr>
        <w:t xml:space="preserve"> </w:t>
      </w:r>
      <w:r w:rsidR="00BE47AF" w:rsidRPr="004F77BF">
        <w:rPr>
          <w:i w:val="0"/>
          <w:iCs/>
          <w:sz w:val="18"/>
          <w:szCs w:val="18"/>
        </w:rPr>
        <w:t xml:space="preserve">(structure </w:t>
      </w:r>
      <w:r w:rsidR="004F77BF" w:rsidRPr="004F77BF">
        <w:rPr>
          <w:i w:val="0"/>
          <w:iCs/>
          <w:sz w:val="18"/>
          <w:szCs w:val="18"/>
        </w:rPr>
        <w:t>in the middle</w:t>
      </w:r>
      <w:r w:rsidR="00BE47AF" w:rsidRPr="004F77BF">
        <w:rPr>
          <w:i w:val="0"/>
          <w:iCs/>
          <w:sz w:val="18"/>
          <w:szCs w:val="18"/>
        </w:rPr>
        <w:t>).</w:t>
      </w:r>
      <w:r w:rsidR="00BE47AF">
        <w:t xml:space="preserve">  </w:t>
      </w:r>
    </w:p>
    <w:p w14:paraId="7D2A1D54" w14:textId="77777777" w:rsidR="004F77BF" w:rsidRDefault="004F77BF" w:rsidP="004F77BF">
      <w:pPr>
        <w:keepNext/>
        <w:ind w:left="567" w:hanging="567"/>
        <w:outlineLvl w:val="3"/>
        <w:rPr>
          <w:bCs/>
          <w:sz w:val="18"/>
          <w:szCs w:val="24"/>
          <w:lang w:eastAsia="cs-CZ"/>
        </w:rPr>
      </w:pPr>
    </w:p>
    <w:p w14:paraId="66C93E54" w14:textId="4A4EF60D" w:rsidR="004F77BF" w:rsidRPr="004F77BF" w:rsidRDefault="004F77BF" w:rsidP="004F77BF">
      <w:pPr>
        <w:keepNext/>
        <w:ind w:left="567" w:hanging="567"/>
        <w:outlineLvl w:val="3"/>
        <w:rPr>
          <w:bCs/>
          <w:sz w:val="18"/>
          <w:szCs w:val="24"/>
          <w:lang w:val="pl-PL" w:eastAsia="cs-CZ"/>
        </w:rPr>
      </w:pPr>
      <w:r w:rsidRPr="004F77BF">
        <w:rPr>
          <w:bCs/>
          <w:sz w:val="18"/>
          <w:szCs w:val="24"/>
          <w:lang w:val="en-US" w:eastAsia="cs-CZ"/>
        </w:rPr>
        <w:t>[1]</w:t>
      </w:r>
      <w:r w:rsidRPr="004F77BF">
        <w:rPr>
          <w:lang w:val="en-US"/>
        </w:rPr>
        <w:t xml:space="preserve"> </w:t>
      </w:r>
      <w:proofErr w:type="spellStart"/>
      <w:r w:rsidRPr="004F77BF">
        <w:rPr>
          <w:bCs/>
          <w:sz w:val="18"/>
          <w:szCs w:val="24"/>
          <w:lang w:val="en-US" w:eastAsia="cs-CZ"/>
        </w:rPr>
        <w:t>Jeziorna</w:t>
      </w:r>
      <w:proofErr w:type="spellEnd"/>
      <w:r w:rsidRPr="004F77BF">
        <w:rPr>
          <w:bCs/>
          <w:sz w:val="18"/>
          <w:szCs w:val="24"/>
          <w:lang w:val="en-US" w:eastAsia="cs-CZ"/>
        </w:rPr>
        <w:t>,</w:t>
      </w:r>
      <w:r w:rsidRPr="004F77BF">
        <w:rPr>
          <w:bCs/>
          <w:sz w:val="18"/>
          <w:szCs w:val="24"/>
          <w:lang w:val="en-US" w:eastAsia="cs-CZ"/>
        </w:rPr>
        <w:t xml:space="preserve"> A.,</w:t>
      </w:r>
      <w:r w:rsidRPr="004F77BF">
        <w:rPr>
          <w:bCs/>
          <w:sz w:val="18"/>
          <w:szCs w:val="24"/>
          <w:lang w:val="en-US" w:eastAsia="cs-CZ"/>
        </w:rPr>
        <w:t xml:space="preserve"> Paluch,</w:t>
      </w:r>
      <w:r w:rsidRPr="004F77BF">
        <w:rPr>
          <w:bCs/>
          <w:sz w:val="18"/>
          <w:szCs w:val="24"/>
          <w:lang w:val="en-US" w:eastAsia="cs-CZ"/>
        </w:rPr>
        <w:t xml:space="preserve"> P.,</w:t>
      </w:r>
      <w:r w:rsidRPr="004F77BF">
        <w:rPr>
          <w:bCs/>
          <w:sz w:val="18"/>
          <w:szCs w:val="24"/>
          <w:lang w:val="en-US" w:eastAsia="cs-CZ"/>
        </w:rPr>
        <w:t xml:space="preserve"> Zając,</w:t>
      </w:r>
      <w:r w:rsidRPr="004F77BF">
        <w:rPr>
          <w:bCs/>
          <w:sz w:val="18"/>
          <w:szCs w:val="24"/>
          <w:lang w:val="en-US" w:eastAsia="cs-CZ"/>
        </w:rPr>
        <w:t xml:space="preserve"> J.,</w:t>
      </w:r>
      <w:r w:rsidRPr="004F77BF">
        <w:rPr>
          <w:bCs/>
          <w:sz w:val="18"/>
          <w:szCs w:val="24"/>
          <w:lang w:val="en-US" w:eastAsia="cs-CZ"/>
        </w:rPr>
        <w:t xml:space="preserve"> Dolot,</w:t>
      </w:r>
      <w:r w:rsidRPr="004F77BF">
        <w:rPr>
          <w:bCs/>
          <w:sz w:val="18"/>
          <w:szCs w:val="24"/>
          <w:lang w:val="en-US" w:eastAsia="cs-CZ"/>
        </w:rPr>
        <w:t xml:space="preserve"> R.,</w:t>
      </w:r>
      <w:r w:rsidRPr="004F77BF">
        <w:rPr>
          <w:bCs/>
          <w:sz w:val="18"/>
          <w:szCs w:val="24"/>
          <w:lang w:val="en-US" w:eastAsia="cs-CZ"/>
        </w:rPr>
        <w:t xml:space="preserve"> Dudek</w:t>
      </w:r>
      <w:r w:rsidRPr="004F77BF">
        <w:rPr>
          <w:bCs/>
          <w:sz w:val="18"/>
          <w:szCs w:val="24"/>
          <w:lang w:val="en-US" w:eastAsia="cs-CZ"/>
        </w:rPr>
        <w:t>,</w:t>
      </w:r>
      <w:r>
        <w:rPr>
          <w:bCs/>
          <w:sz w:val="18"/>
          <w:szCs w:val="24"/>
          <w:lang w:val="en-US" w:eastAsia="cs-CZ"/>
        </w:rPr>
        <w:t xml:space="preserve"> M. K., (2023) </w:t>
      </w:r>
      <w:r w:rsidRPr="004F77BF">
        <w:rPr>
          <w:bCs/>
          <w:sz w:val="18"/>
          <w:szCs w:val="24"/>
          <w:lang w:eastAsia="cs-CZ"/>
        </w:rPr>
        <w:t>Crystal Growth &amp; Design</w:t>
      </w:r>
      <w:r>
        <w:rPr>
          <w:bCs/>
          <w:sz w:val="18"/>
          <w:szCs w:val="24"/>
          <w:lang w:eastAsia="cs-CZ"/>
        </w:rPr>
        <w:t>,</w:t>
      </w:r>
      <w:r w:rsidRPr="004F77BF">
        <w:rPr>
          <w:bCs/>
          <w:sz w:val="18"/>
          <w:szCs w:val="24"/>
          <w:lang w:eastAsia="cs-CZ"/>
        </w:rPr>
        <w:t xml:space="preserve"> 23 (8), 5998-6010 </w:t>
      </w:r>
    </w:p>
    <w:p w14:paraId="5A36C2EA" w14:textId="3333D6EE" w:rsidR="00AD27DB" w:rsidRPr="004F77BF" w:rsidRDefault="004F77BF">
      <w:pPr>
        <w:pStyle w:val="Acknowledgement"/>
        <w:rPr>
          <w:lang w:val="en-US" w:eastAsia="cs-CZ"/>
        </w:rPr>
      </w:pPr>
      <w:r w:rsidRPr="004F77BF">
        <w:rPr>
          <w:lang w:val="en-US" w:eastAsia="cs-CZ"/>
        </w:rPr>
        <w:t>This work was possible due to the financial support of the Polish National Science Centre under Sonata BIS grant No.2022/46/E/ST4/0039. The NMR studies has been supported by PANACEA</w:t>
      </w:r>
      <w:r>
        <w:rPr>
          <w:lang w:val="en-US" w:eastAsia="cs-CZ"/>
        </w:rPr>
        <w:t>,</w:t>
      </w:r>
      <w:r w:rsidRPr="004F77BF">
        <w:rPr>
          <w:lang w:val="en-US" w:eastAsia="cs-CZ"/>
        </w:rPr>
        <w:t xml:space="preserve"> which received funding from the European Union’s Horizon 2020 research and innovation </w:t>
      </w:r>
      <w:proofErr w:type="spellStart"/>
      <w:r w:rsidRPr="004F77BF">
        <w:rPr>
          <w:lang w:val="en-US" w:eastAsia="cs-CZ"/>
        </w:rPr>
        <w:t>programme</w:t>
      </w:r>
      <w:proofErr w:type="spellEnd"/>
      <w:r w:rsidRPr="004F77BF">
        <w:rPr>
          <w:lang w:val="en-US" w:eastAsia="cs-CZ"/>
        </w:rPr>
        <w:t xml:space="preserve"> under Grant Agreement No 101008500</w:t>
      </w:r>
    </w:p>
    <w:sectPr w:rsidR="00AD27DB" w:rsidRPr="004F77BF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08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DC294" w14:textId="77777777" w:rsidR="005C12B1" w:rsidRDefault="005C12B1">
      <w:pPr>
        <w:spacing w:after="0"/>
      </w:pPr>
      <w:r>
        <w:separator/>
      </w:r>
    </w:p>
  </w:endnote>
  <w:endnote w:type="continuationSeparator" w:id="0">
    <w:p w14:paraId="0302E6F9" w14:textId="77777777" w:rsidR="005C12B1" w:rsidRDefault="005C12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4C249" w14:textId="77777777" w:rsidR="00AD27DB" w:rsidRDefault="00000000">
    <w:pPr>
      <w:pStyle w:val="Stopka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533E48DA" w14:textId="77777777" w:rsidR="00AD27DB" w:rsidRDefault="00AD27DB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F461C" w14:textId="77777777" w:rsidR="005C12B1" w:rsidRDefault="005C12B1">
      <w:pPr>
        <w:spacing w:after="0"/>
      </w:pPr>
      <w:r>
        <w:separator/>
      </w:r>
    </w:p>
  </w:footnote>
  <w:footnote w:type="continuationSeparator" w:id="0">
    <w:p w14:paraId="60814D22" w14:textId="77777777" w:rsidR="005C12B1" w:rsidRDefault="005C12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BD8EE" w14:textId="77777777" w:rsidR="00AD27DB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DB"/>
    <w:rsid w:val="0008007D"/>
    <w:rsid w:val="00153294"/>
    <w:rsid w:val="002A0F69"/>
    <w:rsid w:val="002B00FF"/>
    <w:rsid w:val="002E48C0"/>
    <w:rsid w:val="00323B90"/>
    <w:rsid w:val="0042110D"/>
    <w:rsid w:val="00437BB0"/>
    <w:rsid w:val="004F77BF"/>
    <w:rsid w:val="005C12B1"/>
    <w:rsid w:val="007977A7"/>
    <w:rsid w:val="00AD27DB"/>
    <w:rsid w:val="00BC6859"/>
    <w:rsid w:val="00BE47AF"/>
    <w:rsid w:val="00C27B3E"/>
    <w:rsid w:val="00C5581A"/>
    <w:rsid w:val="00FA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D9BF3"/>
  <w15:docId w15:val="{667A4757-37BC-4E92-958F-06B2B402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Nagwek1">
    <w:name w:val="heading 1"/>
    <w:basedOn w:val="Normalny"/>
    <w:next w:val="Nagwek2"/>
    <w:link w:val="Nagwek1Znak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Nagwek5">
    <w:name w:val="heading 5"/>
    <w:basedOn w:val="Nagwek6"/>
    <w:next w:val="Normalny"/>
    <w:link w:val="Nagwek5Znak"/>
    <w:uiPriority w:val="9"/>
    <w:unhideWhenUsed/>
    <w:qFormat/>
    <w:rsid w:val="00605A18"/>
    <w:pPr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Nagwek2Znak">
    <w:name w:val="Nagłówek 2 Znak"/>
    <w:link w:val="Nagwek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Nagwek3Znak">
    <w:name w:val="Nagłówek 3 Znak"/>
    <w:link w:val="Nagwek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Nagwek4Znak">
    <w:name w:val="Nagłówek 4 Znak"/>
    <w:link w:val="Nagwek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-adresZnak">
    <w:name w:val="HTML - adres Znak"/>
    <w:link w:val="HTML-adres"/>
    <w:uiPriority w:val="99"/>
    <w:semiHidden/>
    <w:qFormat/>
    <w:rsid w:val="005E6DCD"/>
    <w:rPr>
      <w:i/>
      <w:iCs/>
      <w:lang w:val="de-DE" w:eastAsia="de-DE"/>
    </w:rPr>
  </w:style>
  <w:style w:type="character" w:customStyle="1" w:styleId="Nagwek5Znak">
    <w:name w:val="Nagłówek 5 Znak"/>
    <w:link w:val="Nagwek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Nagwek6Znak">
    <w:name w:val="Nagłówek 6 Znak"/>
    <w:link w:val="Nagwek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NagwekZnak">
    <w:name w:val="Nagłówek Znak"/>
    <w:link w:val="Nagwek"/>
    <w:uiPriority w:val="99"/>
    <w:qFormat/>
    <w:rsid w:val="00D13351"/>
    <w:rPr>
      <w:lang w:val="en-GB" w:eastAsia="de-DE"/>
    </w:rPr>
  </w:style>
  <w:style w:type="character" w:customStyle="1" w:styleId="StopkaZnak">
    <w:name w:val="Stopka Znak"/>
    <w:link w:val="Stopka"/>
    <w:uiPriority w:val="99"/>
    <w:qFormat/>
    <w:rsid w:val="00D13351"/>
    <w:rPr>
      <w:lang w:val="en-GB" w:eastAsia="de-DE"/>
    </w:rPr>
  </w:style>
  <w:style w:type="character" w:customStyle="1" w:styleId="TekstdymkaZnak">
    <w:name w:val="Tekst dymka Znak"/>
    <w:link w:val="Tekstdymka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ny"/>
    <w:qFormat/>
    <w:rsid w:val="00777DA8"/>
    <w:rPr>
      <w:i/>
    </w:rPr>
  </w:style>
  <w:style w:type="paragraph" w:styleId="HTML-adres">
    <w:name w:val="HTML Address"/>
    <w:basedOn w:val="Normalny"/>
    <w:link w:val="HTML-adresZnak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B00FF"/>
    <w:rPr>
      <w:lang w:val="en-GB" w:eastAsia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00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00F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00FF"/>
    <w:rPr>
      <w:lang w:val="en-GB" w:eastAsia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0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00FF"/>
    <w:rPr>
      <w:b/>
      <w:bCs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3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533</Words>
  <Characters>3062</Characters>
  <Application>Microsoft Office Word</Application>
  <DocSecurity>0</DocSecurity>
  <Lines>35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Przemysław Nowak</cp:lastModifiedBy>
  <cp:revision>3</cp:revision>
  <dcterms:created xsi:type="dcterms:W3CDTF">2025-05-09T12:21:00Z</dcterms:created>
  <dcterms:modified xsi:type="dcterms:W3CDTF">2025-05-09T14:07:00Z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GrammarlyDocumentId">
    <vt:lpwstr>b49048d8-2156-48d5-ae04-a0c42c7d6db2</vt:lpwstr>
  </property>
</Properties>
</file>