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</w:pPr>
    </w:p>
    <w:p>
      <w:pPr>
        <w:pStyle w:val="Heading"/>
      </w:pPr>
      <w:r>
        <w:rPr>
          <w:rFonts w:cs="Arial Unicode MS" w:eastAsia="Arial Unicode MS"/>
          <w:rtl w:val="0"/>
          <w:lang w:val="en-US"/>
        </w:rPr>
        <w:t>Coot and Moorhen: evolving interactive model building from desktop to web</w:t>
      </w:r>
    </w:p>
    <w:p>
      <w:pPr>
        <w:pStyle w:val="Heading 2"/>
      </w:pPr>
      <w:r>
        <w:rPr>
          <w:rFonts w:cs="Arial Unicode MS" w:eastAsia="Arial Unicode MS"/>
          <w:sz w:val="22"/>
          <w:szCs w:val="22"/>
          <w:rtl w:val="0"/>
          <w:lang w:val="en-US"/>
        </w:rPr>
        <w:t>L</w:t>
      </w:r>
      <w:r>
        <w:rPr>
          <w:rFonts w:cs="Arial Unicode MS" w:eastAsia="Arial Unicode MS"/>
          <w:sz w:val="22"/>
          <w:szCs w:val="22"/>
          <w:rtl w:val="0"/>
        </w:rPr>
        <w:t xml:space="preserve">. </w:t>
      </w:r>
      <w:r>
        <w:rPr>
          <w:rFonts w:cs="Arial Unicode MS" w:eastAsia="Arial Unicode MS"/>
          <w:sz w:val="22"/>
          <w:szCs w:val="22"/>
          <w:rtl w:val="0"/>
          <w:lang w:val="en-US"/>
        </w:rPr>
        <w:t>Catapano</w:t>
      </w:r>
      <w:r>
        <w:rPr>
          <w:rFonts w:cs="Arial Unicode MS" w:eastAsia="Arial Unicode MS"/>
          <w:vertAlign w:val="superscript"/>
          <w:rtl w:val="0"/>
        </w:rPr>
        <w:t>1</w:t>
      </w:r>
      <w:r>
        <w:rPr>
          <w:rStyle w:val="None A"/>
          <w:rFonts w:cs="Arial Unicode MS" w:eastAsia="Arial Unicode MS"/>
          <w:rtl w:val="0"/>
        </w:rPr>
        <w:t>,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sz w:val="22"/>
          <w:szCs w:val="22"/>
          <w:rtl w:val="0"/>
        </w:rPr>
        <w:t>S</w:t>
      </w:r>
      <w:r>
        <w:rPr>
          <w:rFonts w:cs="Arial Unicode MS" w:eastAsia="Arial Unicode MS"/>
          <w:sz w:val="22"/>
          <w:szCs w:val="22"/>
          <w:rtl w:val="0"/>
          <w:lang w:val="en-US"/>
        </w:rPr>
        <w:t xml:space="preserve">. </w:t>
      </w:r>
      <w:r>
        <w:rPr>
          <w:rFonts w:cs="Arial Unicode MS" w:eastAsia="Arial Unicode MS"/>
          <w:sz w:val="22"/>
          <w:szCs w:val="22"/>
          <w:rtl w:val="0"/>
          <w:lang w:val="de-DE"/>
        </w:rPr>
        <w:t>McNicholas</w:t>
      </w:r>
      <w:r>
        <w:rPr>
          <w:rFonts w:cs="Arial Unicode MS" w:eastAsia="Arial Unicode MS"/>
          <w:sz w:val="22"/>
          <w:szCs w:val="22"/>
          <w:vertAlign w:val="superscript"/>
          <w:rtl w:val="0"/>
          <w:lang w:val="en-US"/>
        </w:rPr>
        <w:t>2</w:t>
      </w:r>
      <w:r>
        <w:rPr>
          <w:rStyle w:val="None A"/>
          <w:rFonts w:cs="Arial Unicode MS" w:eastAsia="Arial Unicode MS"/>
          <w:rtl w:val="0"/>
        </w:rPr>
        <w:t>,</w:t>
      </w:r>
      <w:r>
        <w:rPr>
          <w:rFonts w:cs="Arial Unicode MS" w:eastAsia="Arial Unicode MS"/>
          <w:rtl w:val="0"/>
          <w:lang w:val="en-US"/>
        </w:rPr>
        <w:t xml:space="preserve"> C</w:t>
      </w:r>
      <w:r>
        <w:rPr>
          <w:rFonts w:cs="Arial Unicode MS" w:eastAsia="Arial Unicode MS"/>
          <w:sz w:val="22"/>
          <w:szCs w:val="22"/>
          <w:rtl w:val="0"/>
          <w:lang w:val="en-US"/>
        </w:rPr>
        <w:t>. Dugat</w:t>
      </w:r>
      <w:r>
        <w:rPr>
          <w:rFonts w:cs="Arial Unicode MS" w:eastAsia="Arial Unicode MS"/>
          <w:sz w:val="22"/>
          <w:szCs w:val="22"/>
          <w:vertAlign w:val="superscript"/>
          <w:rtl w:val="0"/>
          <w:lang w:val="en-US"/>
        </w:rPr>
        <w:t>2</w:t>
      </w:r>
      <w:r>
        <w:rPr>
          <w:rStyle w:val="None A"/>
          <w:rFonts w:cs="Arial Unicode MS" w:eastAsia="Arial Unicode MS"/>
          <w:rtl w:val="0"/>
        </w:rPr>
        <w:t>,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sz w:val="22"/>
          <w:szCs w:val="22"/>
          <w:rtl w:val="0"/>
          <w:lang w:val="en-US"/>
        </w:rPr>
        <w:t xml:space="preserve">J. </w:t>
      </w:r>
      <w:r>
        <w:rPr>
          <w:rFonts w:cs="Arial Unicode MS" w:eastAsia="Arial Unicode MS"/>
          <w:sz w:val="22"/>
          <w:szCs w:val="22"/>
          <w:rtl w:val="0"/>
        </w:rPr>
        <w:t>Smulski</w:t>
      </w:r>
      <w:r>
        <w:rPr>
          <w:rFonts w:cs="Arial Unicode MS" w:eastAsia="Arial Unicode MS"/>
          <w:sz w:val="22"/>
          <w:szCs w:val="22"/>
          <w:vertAlign w:val="superscript"/>
          <w:rtl w:val="0"/>
          <w:lang w:val="en-US"/>
        </w:rPr>
        <w:t>4</w:t>
      </w:r>
      <w:r>
        <w:rPr>
          <w:rStyle w:val="None A"/>
          <w:rFonts w:cs="Arial Unicode MS" w:eastAsia="Arial Unicode MS"/>
          <w:rtl w:val="0"/>
        </w:rPr>
        <w:t>,</w:t>
      </w:r>
      <w:r>
        <w:rPr>
          <w:rFonts w:cs="Arial Unicode MS" w:eastAsia="Arial Unicode MS"/>
          <w:sz w:val="22"/>
          <w:szCs w:val="22"/>
          <w:rtl w:val="0"/>
          <w:lang w:val="en-US"/>
        </w:rPr>
        <w:t xml:space="preserve"> M. Noble</w:t>
      </w:r>
      <w:r>
        <w:rPr>
          <w:rFonts w:cs="Arial Unicode MS" w:eastAsia="Arial Unicode MS"/>
          <w:sz w:val="22"/>
          <w:szCs w:val="22"/>
          <w:vertAlign w:val="superscript"/>
          <w:rtl w:val="0"/>
          <w:lang w:val="en-US"/>
        </w:rPr>
        <w:t>3</w:t>
      </w:r>
      <w:r>
        <w:rPr>
          <w:rStyle w:val="None A"/>
          <w:rFonts w:cs="Arial Unicode MS" w:eastAsia="Arial Unicode MS"/>
          <w:rtl w:val="0"/>
        </w:rPr>
        <w:t>,</w:t>
      </w:r>
      <w:r>
        <w:rPr>
          <w:rFonts w:cs="Arial Unicode MS" w:eastAsia="Arial Unicode MS"/>
          <w:sz w:val="22"/>
          <w:szCs w:val="22"/>
          <w:vertAlign w:val="superscript"/>
          <w:rtl w:val="0"/>
          <w:lang w:val="en-US"/>
        </w:rPr>
        <w:t xml:space="preserve"> </w:t>
      </w:r>
      <w:r>
        <w:rPr>
          <w:rFonts w:cs="Arial Unicode MS" w:eastAsia="Arial Unicode MS"/>
          <w:sz w:val="22"/>
          <w:szCs w:val="22"/>
          <w:rtl w:val="0"/>
          <w:lang w:val="en-US"/>
        </w:rPr>
        <w:t>P</w:t>
      </w:r>
      <w:r>
        <w:rPr>
          <w:rFonts w:cs="Arial Unicode MS" w:eastAsia="Arial Unicode MS"/>
          <w:sz w:val="22"/>
          <w:szCs w:val="22"/>
          <w:rtl w:val="0"/>
        </w:rPr>
        <w:t xml:space="preserve">. </w:t>
      </w:r>
      <w:r>
        <w:rPr>
          <w:rFonts w:cs="Arial Unicode MS" w:eastAsia="Arial Unicode MS"/>
          <w:sz w:val="22"/>
          <w:szCs w:val="22"/>
          <w:rtl w:val="0"/>
          <w:lang w:val="en-US"/>
        </w:rPr>
        <w:t>Emsley</w:t>
      </w:r>
      <w:r>
        <w:rPr>
          <w:rFonts w:cs="Arial Unicode MS" w:eastAsia="Arial Unicode MS"/>
          <w:vertAlign w:val="superscript"/>
          <w:rtl w:val="0"/>
        </w:rPr>
        <w:t>1</w:t>
      </w:r>
    </w:p>
    <w:p>
      <w:pPr>
        <w:pStyle w:val="Heading 3"/>
      </w:pPr>
      <w:r>
        <w:rPr>
          <w:rFonts w:cs="Arial Unicode MS" w:eastAsia="Arial Unicode MS"/>
          <w:vertAlign w:val="superscript"/>
          <w:rtl w:val="0"/>
        </w:rPr>
        <w:t>1</w:t>
      </w:r>
      <w:r>
        <w:rPr>
          <w:rFonts w:cs="Arial Unicode MS" w:eastAsia="Arial Unicode MS"/>
          <w:rtl w:val="0"/>
          <w:lang w:val="en-US"/>
        </w:rPr>
        <w:t>MRC Laboratory of Molecular Biology, Cambridge,</w:t>
      </w:r>
      <w:r>
        <w:rPr>
          <w:rStyle w:val="None A"/>
          <w:rFonts w:cs="Arial Unicode MS" w:eastAsia="Arial Unicode MS"/>
          <w:rtl w:val="0"/>
        </w:rPr>
        <w:t xml:space="preserve"> CB2 0QH, U</w:t>
      </w:r>
      <w:r>
        <w:rPr>
          <w:rFonts w:cs="Arial Unicode MS" w:eastAsia="Arial Unicode MS"/>
          <w:rtl w:val="0"/>
          <w:lang w:val="en-US"/>
        </w:rPr>
        <w:t>K</w:t>
      </w:r>
      <w:r>
        <w:rPr>
          <w:rStyle w:val="None A"/>
          <w:rFonts w:cs="Arial Unicode MS" w:eastAsia="Arial Unicode MS"/>
          <w:rtl w:val="0"/>
        </w:rPr>
        <w:t xml:space="preserve"> </w:t>
      </w:r>
    </w:p>
    <w:p>
      <w:pPr>
        <w:pStyle w:val="Heading 3"/>
      </w:pPr>
      <w:r>
        <w:rPr>
          <w:rFonts w:cs="Arial Unicode MS" w:eastAsia="Arial Unicode MS"/>
          <w:vertAlign w:val="superscript"/>
          <w:rtl w:val="0"/>
        </w:rPr>
        <w:t>2</w:t>
      </w:r>
      <w:r>
        <w:rPr>
          <w:rFonts w:cs="Arial Unicode MS" w:eastAsia="Arial Unicode MS"/>
          <w:rtl w:val="0"/>
          <w:lang w:val="en-US"/>
        </w:rPr>
        <w:t>University of York, York, YO10 5DD, UK</w:t>
      </w:r>
    </w:p>
    <w:p>
      <w:pPr>
        <w:pStyle w:val="Heading 3"/>
      </w:pPr>
      <w:r>
        <w:rPr>
          <w:rFonts w:cs="Arial Unicode MS" w:eastAsia="Arial Unicode MS"/>
          <w:vertAlign w:val="superscript"/>
          <w:rtl w:val="0"/>
        </w:rPr>
        <w:t>3</w:t>
      </w:r>
      <w:r>
        <w:rPr>
          <w:rFonts w:cs="Arial Unicode MS" w:eastAsia="Arial Unicode MS"/>
          <w:rtl w:val="0"/>
          <w:lang w:val="en-US"/>
        </w:rPr>
        <w:t xml:space="preserve">Newcastle University, </w:t>
      </w:r>
      <w:r>
        <w:rPr>
          <w:rStyle w:val="None A"/>
          <w:rFonts w:cs="Arial Unicode MS" w:eastAsia="Arial Unicode MS"/>
          <w:rtl w:val="0"/>
        </w:rPr>
        <w:t>Newcastle</w:t>
      </w:r>
      <w:r>
        <w:rPr>
          <w:rFonts w:cs="Arial Unicode MS" w:eastAsia="Arial Unicode MS"/>
          <w:rtl w:val="0"/>
          <w:lang w:val="en-US"/>
        </w:rPr>
        <w:t xml:space="preserve">, </w:t>
      </w:r>
      <w:r>
        <w:rPr>
          <w:rFonts w:cs="Arial Unicode MS" w:eastAsia="Arial Unicode MS"/>
          <w:rtl w:val="0"/>
          <w:lang w:val="de-DE"/>
        </w:rPr>
        <w:t>NE2 4HH</w:t>
      </w:r>
      <w:r>
        <w:rPr>
          <w:rFonts w:cs="Arial Unicode MS" w:eastAsia="Arial Unicode MS"/>
          <w:rtl w:val="0"/>
          <w:lang w:val="en-US"/>
        </w:rPr>
        <w:t>, UK</w:t>
      </w:r>
    </w:p>
    <w:p>
      <w:pPr>
        <w:pStyle w:val="Heading 3"/>
      </w:pPr>
      <w:r>
        <w:rPr>
          <w:rFonts w:cs="Arial Unicode MS" w:eastAsia="Arial Unicode MS"/>
          <w:vertAlign w:val="superscript"/>
          <w:rtl w:val="0"/>
          <w:lang w:val="en-US"/>
        </w:rPr>
        <w:t>4</w:t>
      </w:r>
      <w:r>
        <w:rPr>
          <w:rFonts w:cs="Arial Unicode MS" w:eastAsia="Arial Unicode MS"/>
          <w:rtl w:val="0"/>
          <w:lang w:val="en-US"/>
        </w:rPr>
        <w:t xml:space="preserve">Global Phasing Limited, Cambridge, </w:t>
      </w:r>
      <w:r>
        <w:rPr>
          <w:rFonts w:cs="Arial Unicode MS" w:eastAsia="Arial Unicode MS"/>
          <w:rtl w:val="0"/>
          <w:lang w:val="ru-RU"/>
        </w:rPr>
        <w:t>CB3 0AX</w:t>
      </w:r>
      <w:r>
        <w:rPr>
          <w:rFonts w:cs="Arial Unicode MS" w:eastAsia="Arial Unicode MS"/>
          <w:rtl w:val="0"/>
          <w:lang w:val="en-US"/>
        </w:rPr>
        <w:t>, UK</w:t>
      </w:r>
    </w:p>
    <w:p>
      <w:pPr>
        <w:pStyle w:val="Body A"/>
      </w:pPr>
    </w:p>
    <w:p>
      <w:pPr>
        <w:pStyle w:val="Heading 3"/>
        <w:rPr>
          <w:rStyle w:val="None A"/>
        </w:rPr>
      </w:pPr>
      <w:r>
        <w:rPr>
          <w:rFonts w:cs="Arial Unicode MS" w:eastAsia="Arial Unicode MS"/>
          <w:rtl w:val="0"/>
          <w:lang w:val="en-US"/>
        </w:rPr>
        <w:t>lucrezia@mrc-lmb.cam.ac.uk</w:t>
      </w:r>
      <w:r>
        <w:rPr>
          <w:rStyle w:val="None A"/>
        </w:rPr>
        <w:br w:type="textWrapping"/>
      </w:r>
    </w:p>
    <w:p>
      <w:pPr>
        <w:pStyle w:val="Body A"/>
      </w:pPr>
    </w:p>
    <w:p>
      <w:pPr>
        <w:pStyle w:val="Body A"/>
      </w:pPr>
      <w:r>
        <w:rPr>
          <w:i w:val="1"/>
          <w:iCs w:val="1"/>
          <w:rtl w:val="0"/>
          <w:lang w:val="nl-NL"/>
        </w:rPr>
        <w:t>Coot</w:t>
      </w:r>
      <w:r>
        <w:rPr>
          <w:rStyle w:val="None A"/>
          <w:rtl w:val="0"/>
        </w:rPr>
        <w:t xml:space="preserve"> </w:t>
      </w:r>
      <w:r>
        <w:rPr>
          <w:rtl w:val="0"/>
          <w:lang w:val="en-US"/>
        </w:rPr>
        <w:t>[1] is a powerful and widely used program for atomic model building, refinement, and validation of macromolecular structures derived from X-ray crystallography and cryo-EM data [2].</w:t>
      </w:r>
    </w:p>
    <w:p>
      <w:pPr>
        <w:pStyle w:val="Body A"/>
      </w:pPr>
      <w:r>
        <w:rPr>
          <w:rtl w:val="0"/>
          <w:lang w:val="en-US"/>
        </w:rPr>
        <w:t xml:space="preserve">Recent developments include a redesigned, more user-friendly graphical user interface. The introduction of </w:t>
      </w:r>
      <w:r>
        <w:rPr>
          <w:i w:val="1"/>
          <w:iCs w:val="1"/>
          <w:rtl w:val="0"/>
        </w:rPr>
        <w:t>Layla</w:t>
      </w:r>
      <w:r>
        <w:rPr>
          <w:rtl w:val="0"/>
          <w:lang w:val="en-US"/>
        </w:rPr>
        <w:t>, a ligand-building tool that supports SMILES editing and provides a QED (Quantitative Estimate of Drug-likeness) [3] score, and a complete rewrite of the graphics engine. New molecular representation styles have been introduced, such as ribbon diagrams and chemistry-aware bond rendering, along with advanced lighting effects including screen-space ambient occlusion, shadows, and improved shader-based lighting for high-quality visualis</w:t>
      </w:r>
      <w:r>
        <w:rPr>
          <w:rtl w:val="0"/>
          <w:lang w:val="fr-FR"/>
        </w:rPr>
        <w:t>ations.</w:t>
      </w:r>
    </w:p>
    <w:p>
      <w:pPr>
        <w:pStyle w:val="Body A"/>
      </w:pPr>
      <w:r>
        <w:rPr>
          <w:rtl w:val="0"/>
          <w:lang w:val="it-IT"/>
        </w:rPr>
        <w:t xml:space="preserve">In parallel, </w:t>
      </w:r>
      <w:r>
        <w:rPr>
          <w:i w:val="1"/>
          <w:iCs w:val="1"/>
          <w:rtl w:val="0"/>
          <w:lang w:val="nl-NL"/>
        </w:rPr>
        <w:t>Coot</w:t>
      </w:r>
      <w:r>
        <w:rPr>
          <w:rFonts w:ascii="Arial Unicode MS" w:hAnsi="Arial Unicode MS" w:hint="default"/>
          <w:rtl w:val="1"/>
        </w:rPr>
        <w:t>’</w:t>
      </w:r>
      <w:r>
        <w:rPr>
          <w:rtl w:val="0"/>
          <w:lang w:val="en-US"/>
        </w:rPr>
        <w:t>s core algorithms have been modularised into clean, accessible libraries: libcoot.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rtl w:val="0"/>
          <w:lang w:val="en-US"/>
        </w:rPr>
        <w:t>These are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rtl w:val="0"/>
          <w:lang w:val="en-US"/>
        </w:rPr>
        <w:t>now available via both a Python API and as a JavaScript/WebAssembly module. This separation of computational logic from the graphical interface enables broader integration, scripting, and automation, and lays the foundation for modern, platform-independent applications.</w:t>
      </w:r>
    </w:p>
    <w:p>
      <w:pPr>
        <w:pStyle w:val="Body A"/>
      </w:pPr>
      <w:r>
        <w:rPr>
          <w:rtl w:val="0"/>
          <w:lang w:val="en-US"/>
        </w:rPr>
        <w:t xml:space="preserve">One such application is </w:t>
      </w:r>
      <w:r>
        <w:rPr>
          <w:i w:val="1"/>
          <w:iCs w:val="1"/>
          <w:rtl w:val="0"/>
          <w:lang w:val="nl-NL"/>
        </w:rPr>
        <w:t xml:space="preserve">Moorhen </w:t>
      </w:r>
      <w:r>
        <w:rPr>
          <w:rStyle w:val="None A"/>
          <w:rtl w:val="0"/>
        </w:rPr>
        <w:t>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"https://moorhen.org/"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nl-NL"/>
        </w:rPr>
        <w:t>moorhen.org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), a fully web-based, client-side tool that leverages the libcoot API. Built with React, </w:t>
      </w:r>
      <w:r>
        <w:rPr>
          <w:rStyle w:val="None"/>
          <w:i w:val="1"/>
          <w:iCs w:val="1"/>
          <w:rtl w:val="0"/>
          <w:lang w:val="nl-NL"/>
        </w:rPr>
        <w:t>Moorhen</w:t>
      </w:r>
      <w:r>
        <w:rPr>
          <w:rStyle w:val="None"/>
          <w:rtl w:val="0"/>
          <w:lang w:val="en-US"/>
        </w:rPr>
        <w:t xml:space="preserve"> offers an interactive interface for model building, refinement, and validation, all executed within the web browser, with no need for installation or server-side processing. This architecture makes </w:t>
      </w:r>
      <w:r>
        <w:rPr>
          <w:rStyle w:val="None"/>
          <w:i w:val="1"/>
          <w:iCs w:val="1"/>
          <w:rtl w:val="0"/>
          <w:lang w:val="nl-NL"/>
        </w:rPr>
        <w:t xml:space="preserve">Moorhen </w:t>
      </w:r>
      <w:r>
        <w:rPr>
          <w:rStyle w:val="None"/>
          <w:rtl w:val="0"/>
          <w:lang w:val="en-US"/>
        </w:rPr>
        <w:t xml:space="preserve">both private and portable, allowing users to access powerful structural biology tools from any modern device. </w:t>
      </w:r>
      <w:r>
        <w:rPr>
          <w:rStyle w:val="None"/>
          <w:i w:val="1"/>
          <w:iCs w:val="1"/>
          <w:rtl w:val="0"/>
          <w:lang w:val="nl-NL"/>
        </w:rPr>
        <w:t>Moorhen</w:t>
      </w:r>
      <w:r>
        <w:rPr>
          <w:rStyle w:val="None"/>
          <w:rtl w:val="0"/>
          <w:lang w:val="en-US"/>
        </w:rPr>
        <w:t xml:space="preserve"> includes comprehensive validation features such as rotamer scores, Ramachandran, and density-fit analysis. It also provides tools particularly useful for cryo-EM workflows, including molecular placement via jiggle-fit and real-space refinement through model morphing with local distance restraints. Advanced molecular graphics support surfaces and </w:t>
      </w:r>
      <w:r>
        <w:rPr>
          <w:rStyle w:val="None"/>
          <w:rtl w:val="0"/>
          <w:lang w:val="it-IT"/>
        </w:rPr>
        <w:t>ribbons</w:t>
      </w:r>
      <w:r>
        <w:rPr>
          <w:rStyle w:val="None"/>
          <w:rtl w:val="0"/>
          <w:lang w:val="en-US"/>
        </w:rPr>
        <w:t xml:space="preserve"> complemented by high-end rendering techniques for publication-quality figures. It can also integrate with external tools such as </w:t>
      </w:r>
      <w:r>
        <w:rPr>
          <w:rStyle w:val="None"/>
          <w:i w:val="1"/>
          <w:iCs w:val="1"/>
          <w:rtl w:val="0"/>
          <w:lang w:val="nl-NL"/>
        </w:rPr>
        <w:t>Slice'N'Dice</w:t>
      </w:r>
      <w:r>
        <w:rPr>
          <w:rStyle w:val="None"/>
          <w:rtl w:val="0"/>
          <w:lang w:val="en-US"/>
        </w:rPr>
        <w:t xml:space="preserve"> [4], or be embedded within other applications like the </w:t>
      </w:r>
      <w:r>
        <w:rPr>
          <w:rStyle w:val="None"/>
          <w:i w:val="1"/>
          <w:iCs w:val="1"/>
          <w:rtl w:val="0"/>
          <w:lang w:val="nl-NL"/>
        </w:rPr>
        <w:t>Privateer</w:t>
      </w:r>
      <w:r>
        <w:rPr>
          <w:rStyle w:val="None"/>
          <w:rtl w:val="0"/>
          <w:lang w:val="en-US"/>
        </w:rPr>
        <w:t xml:space="preserve"> web app [5]. </w:t>
      </w:r>
    </w:p>
    <w:p>
      <w:pPr>
        <w:pStyle w:val="Body A"/>
      </w:pPr>
      <w:r>
        <w:rPr>
          <w:rStyle w:val="None"/>
          <w:i w:val="1"/>
          <w:iCs w:val="1"/>
          <w:rtl w:val="0"/>
          <w:lang w:val="nl-NL"/>
        </w:rPr>
        <w:t>Moorhen</w:t>
      </w:r>
      <w:r>
        <w:rPr>
          <w:rStyle w:val="None"/>
          <w:rtl w:val="0"/>
          <w:lang w:val="en-US"/>
        </w:rPr>
        <w:t xml:space="preserve"> is available as a standalone web application and is also integrated into the </w:t>
      </w:r>
      <w:r>
        <w:rPr>
          <w:rStyle w:val="None"/>
          <w:i w:val="1"/>
          <w:iCs w:val="1"/>
          <w:rtl w:val="0"/>
          <w:lang w:val="en-US"/>
        </w:rPr>
        <w:t xml:space="preserve">CCP4 Cloud </w:t>
      </w:r>
      <w:r>
        <w:rPr>
          <w:rStyle w:val="None"/>
          <w:rtl w:val="0"/>
          <w:lang w:val="en-US"/>
        </w:rPr>
        <w:t>[6]</w:t>
      </w:r>
      <w:r>
        <w:rPr>
          <w:rStyle w:val="None"/>
          <w:i w:val="1"/>
          <w:iCs w:val="1"/>
          <w:rtl w:val="0"/>
        </w:rPr>
        <w:t xml:space="preserve"> </w:t>
      </w:r>
      <w:r>
        <w:rPr>
          <w:rStyle w:val="None"/>
          <w:rtl w:val="0"/>
          <w:lang w:val="en-US"/>
        </w:rPr>
        <w:t xml:space="preserve">and </w:t>
      </w:r>
      <w:r>
        <w:rPr>
          <w:rStyle w:val="None"/>
          <w:i w:val="1"/>
          <w:iCs w:val="1"/>
          <w:rtl w:val="0"/>
          <w:lang w:val="pt-PT"/>
        </w:rPr>
        <w:t>CCPEM</w:t>
      </w:r>
      <w:r>
        <w:rPr>
          <w:rStyle w:val="None A"/>
          <w:rtl w:val="0"/>
        </w:rPr>
        <w:t xml:space="preserve"> </w:t>
      </w:r>
      <w:r>
        <w:rPr>
          <w:rStyle w:val="None"/>
          <w:rtl w:val="0"/>
          <w:lang w:val="en-US"/>
        </w:rPr>
        <w:t>[7] interfaces. Its ease of access and powerful capabilities support a wide range of workflows, from research to teaching, helping to democratise structural biology tools for broader scientific and educational communities</w:t>
      </w:r>
    </w:p>
    <w:p>
      <w:pPr>
        <w:pStyle w:val="Heading 4"/>
      </w:pPr>
    </w:p>
    <w:p>
      <w:pPr>
        <w:pStyle w:val="Body A"/>
      </w:pPr>
    </w:p>
    <w:p>
      <w:pPr>
        <w:pStyle w:val="Heading 4"/>
        <w:rPr>
          <w:rStyle w:val="None A"/>
        </w:rPr>
      </w:pPr>
      <w:r>
        <w:rPr>
          <w:rStyle w:val="None A"/>
          <w:rFonts w:cs="Arial Unicode MS" w:eastAsia="Arial Unicode MS"/>
          <w:rtl w:val="0"/>
        </w:rPr>
        <w:t xml:space="preserve">[1] Emsley, P. &amp; Cowtan, K. (2004). </w:t>
      </w:r>
      <w:r>
        <w:rPr>
          <w:rStyle w:val="None"/>
          <w:rFonts w:cs="Arial Unicode MS" w:eastAsia="Arial Unicode MS"/>
          <w:i w:val="1"/>
          <w:iCs w:val="1"/>
          <w:rtl w:val="0"/>
          <w:lang w:val="en-US"/>
        </w:rPr>
        <w:t>Acta Cryst. D</w:t>
      </w:r>
      <w:r>
        <w:rPr>
          <w:rStyle w:val="None A"/>
          <w:rFonts w:cs="Arial Unicode MS" w:eastAsia="Arial Unicode MS"/>
          <w:rtl w:val="0"/>
        </w:rPr>
        <w:t xml:space="preserve"> </w:t>
      </w:r>
      <w:r>
        <w:rPr>
          <w:rStyle w:val="None"/>
          <w:rFonts w:cs="Arial Unicode MS" w:eastAsia="Arial Unicode MS"/>
          <w:b w:val="1"/>
          <w:bCs w:val="1"/>
          <w:rtl w:val="0"/>
          <w:lang w:val="en-US"/>
        </w:rPr>
        <w:t>60</w:t>
      </w:r>
      <w:r>
        <w:rPr>
          <w:rStyle w:val="None A"/>
          <w:rFonts w:cs="Arial Unicode MS" w:eastAsia="Arial Unicode MS"/>
          <w:rtl w:val="0"/>
        </w:rPr>
        <w:t>, 2126</w:t>
      </w:r>
      <w:r>
        <w:rPr>
          <w:rStyle w:val="None A"/>
          <w:rFonts w:cs="Arial Unicode MS" w:eastAsia="Arial Unicode MS" w:hint="default"/>
          <w:rtl w:val="0"/>
        </w:rPr>
        <w:t>–</w:t>
      </w:r>
      <w:r>
        <w:rPr>
          <w:rStyle w:val="None A"/>
          <w:rFonts w:cs="Arial Unicode MS" w:eastAsia="Arial Unicode MS"/>
          <w:rtl w:val="0"/>
        </w:rPr>
        <w:t>2132</w:t>
      </w:r>
    </w:p>
    <w:p>
      <w:pPr>
        <w:pStyle w:val="Heading 4"/>
        <w:rPr>
          <w:rStyle w:val="None A"/>
        </w:rPr>
      </w:pPr>
      <w:r>
        <w:rPr>
          <w:rStyle w:val="None A"/>
          <w:rFonts w:cs="Arial Unicode MS" w:eastAsia="Arial Unicode MS"/>
          <w:rtl w:val="0"/>
        </w:rPr>
        <w:t>[2] Casa</w:t>
      </w:r>
      <w:r>
        <w:rPr>
          <w:rStyle w:val="None A"/>
          <w:rFonts w:cs="Arial Unicode MS" w:eastAsia="Arial Unicode MS" w:hint="default"/>
          <w:rtl w:val="0"/>
        </w:rPr>
        <w:t>ñ</w:t>
      </w:r>
      <w:r>
        <w:rPr>
          <w:rStyle w:val="None A"/>
          <w:rFonts w:cs="Arial Unicode MS" w:eastAsia="Arial Unicode MS"/>
          <w:rtl w:val="0"/>
        </w:rPr>
        <w:t xml:space="preserve">al, A., Lohkamp, B., Emsley P. (2020). </w:t>
      </w:r>
      <w:r>
        <w:rPr>
          <w:rStyle w:val="None"/>
          <w:rFonts w:cs="Arial Unicode MS" w:eastAsia="Arial Unicode MS"/>
          <w:i w:val="1"/>
          <w:iCs w:val="1"/>
          <w:rtl w:val="0"/>
          <w:lang w:val="en-US"/>
        </w:rPr>
        <w:t>Protein Science</w:t>
      </w:r>
      <w:r>
        <w:rPr>
          <w:rStyle w:val="None A"/>
          <w:rFonts w:cs="Arial Unicode MS" w:eastAsia="Arial Unicode MS"/>
          <w:rtl w:val="0"/>
        </w:rPr>
        <w:t xml:space="preserve">. </w:t>
      </w:r>
      <w:r>
        <w:rPr>
          <w:rStyle w:val="None"/>
          <w:rFonts w:cs="Arial Unicode MS" w:eastAsia="Arial Unicode MS"/>
          <w:b w:val="1"/>
          <w:bCs w:val="1"/>
          <w:rtl w:val="0"/>
          <w:lang w:val="en-US"/>
        </w:rPr>
        <w:t>29</w:t>
      </w:r>
      <w:r>
        <w:rPr>
          <w:rStyle w:val="None A"/>
          <w:rFonts w:cs="Arial Unicode MS" w:eastAsia="Arial Unicode MS"/>
          <w:rtl w:val="0"/>
        </w:rPr>
        <w:t>, 1055</w:t>
      </w:r>
      <w:r>
        <w:rPr>
          <w:rStyle w:val="None A"/>
          <w:rFonts w:cs="Arial Unicode MS" w:eastAsia="Arial Unicode MS" w:hint="default"/>
          <w:rtl w:val="0"/>
        </w:rPr>
        <w:t>–</w:t>
      </w:r>
      <w:r>
        <w:rPr>
          <w:rStyle w:val="None A"/>
          <w:rFonts w:cs="Arial Unicode MS" w:eastAsia="Arial Unicode MS"/>
          <w:rtl w:val="0"/>
        </w:rPr>
        <w:t>1064</w:t>
      </w:r>
    </w:p>
    <w:p>
      <w:pPr>
        <w:pStyle w:val="Heading 4"/>
      </w:pPr>
      <w:r>
        <w:rPr>
          <w:rStyle w:val="None A"/>
          <w:rFonts w:cs="Arial Unicode MS" w:eastAsia="Arial Unicode MS"/>
          <w:rtl w:val="0"/>
        </w:rPr>
        <w:t xml:space="preserve">[3] Bickerton, G., Paolini, G., Besnard, J., Muresan, S., Hopkins, A. L. (2012) </w:t>
      </w:r>
      <w:r>
        <w:rPr>
          <w:rStyle w:val="None"/>
          <w:rFonts w:cs="Arial Unicode MS" w:eastAsia="Arial Unicode MS"/>
          <w:i w:val="1"/>
          <w:iCs w:val="1"/>
          <w:rtl w:val="0"/>
          <w:lang w:val="en-US"/>
        </w:rPr>
        <w:t>Nature Chem</w:t>
      </w:r>
      <w:r>
        <w:rPr>
          <w:rStyle w:val="None A"/>
          <w:rFonts w:cs="Arial Unicode MS" w:eastAsia="Arial Unicode MS"/>
          <w:rtl w:val="0"/>
        </w:rPr>
        <w:t xml:space="preserve"> </w:t>
      </w:r>
      <w:r>
        <w:rPr>
          <w:rStyle w:val="None"/>
          <w:rFonts w:cs="Arial Unicode MS" w:eastAsia="Arial Unicode MS"/>
          <w:b w:val="1"/>
          <w:bCs w:val="1"/>
          <w:rtl w:val="0"/>
          <w:lang w:val="en-US"/>
        </w:rPr>
        <w:t>4</w:t>
      </w:r>
      <w:r>
        <w:rPr>
          <w:rStyle w:val="None A"/>
          <w:rFonts w:cs="Arial Unicode MS" w:eastAsia="Arial Unicode MS"/>
          <w:rtl w:val="0"/>
        </w:rPr>
        <w:t>, 90</w:t>
      </w:r>
      <w:r>
        <w:rPr>
          <w:rStyle w:val="None A"/>
          <w:rFonts w:cs="Arial Unicode MS" w:eastAsia="Arial Unicode MS" w:hint="default"/>
          <w:rtl w:val="0"/>
        </w:rPr>
        <w:t>–</w:t>
      </w:r>
      <w:r>
        <w:rPr>
          <w:rStyle w:val="None A"/>
          <w:rFonts w:cs="Arial Unicode MS" w:eastAsia="Arial Unicode MS"/>
          <w:rtl w:val="0"/>
        </w:rPr>
        <w:t xml:space="preserve">98 </w:t>
      </w:r>
    </w:p>
    <w:p>
      <w:pPr>
        <w:pStyle w:val="Heading 4"/>
        <w:rPr>
          <w:rStyle w:val="None A"/>
        </w:rPr>
      </w:pPr>
      <w:r>
        <w:rPr>
          <w:rStyle w:val="None A"/>
          <w:rFonts w:cs="Arial Unicode MS" w:eastAsia="Arial Unicode MS"/>
          <w:rtl w:val="0"/>
        </w:rPr>
        <w:t xml:space="preserve">[4] Simpkin, A. J., Elliot, L. G., Joseph, A. P., Burnley, T., Stevenson, K., Sanchez Rodriguez, F., Fando, M., Krissinel, E., McNicholas, S., Rigden, D. J. &amp; Keegan, R. M. (2025). </w:t>
      </w:r>
      <w:r>
        <w:rPr>
          <w:rStyle w:val="None"/>
          <w:rFonts w:cs="Arial Unicode MS" w:eastAsia="Arial Unicode MS"/>
          <w:i w:val="1"/>
          <w:iCs w:val="1"/>
          <w:rtl w:val="0"/>
          <w:lang w:val="en-US"/>
        </w:rPr>
        <w:t xml:space="preserve">Acta Cryst. D </w:t>
      </w:r>
      <w:r>
        <w:rPr>
          <w:rStyle w:val="None"/>
          <w:rFonts w:cs="Arial Unicode MS" w:eastAsia="Arial Unicode MS"/>
          <w:b w:val="1"/>
          <w:bCs w:val="1"/>
          <w:rtl w:val="0"/>
          <w:lang w:val="en-US"/>
        </w:rPr>
        <w:t>81</w:t>
      </w:r>
      <w:r>
        <w:rPr>
          <w:rStyle w:val="None A"/>
          <w:rFonts w:cs="Arial Unicode MS" w:eastAsia="Arial Unicode MS"/>
          <w:rtl w:val="0"/>
        </w:rPr>
        <w:t>, 105</w:t>
      </w:r>
      <w:r>
        <w:rPr>
          <w:rStyle w:val="None A"/>
          <w:rFonts w:cs="Arial Unicode MS" w:eastAsia="Arial Unicode MS" w:hint="default"/>
          <w:rtl w:val="0"/>
        </w:rPr>
        <w:t>–</w:t>
      </w:r>
      <w:r>
        <w:rPr>
          <w:rStyle w:val="None A"/>
          <w:rFonts w:cs="Arial Unicode MS" w:eastAsia="Arial Unicode MS"/>
          <w:rtl w:val="0"/>
        </w:rPr>
        <w:t>121.</w:t>
      </w:r>
    </w:p>
    <w:p>
      <w:pPr>
        <w:pStyle w:val="Heading 4"/>
        <w:rPr>
          <w:rStyle w:val="None A"/>
        </w:rPr>
      </w:pPr>
      <w:r>
        <w:rPr>
          <w:rStyle w:val="None A"/>
          <w:rFonts w:cs="Arial Unicode MS" w:eastAsia="Arial Unicode MS"/>
          <w:rtl w:val="0"/>
        </w:rPr>
        <w:t xml:space="preserve">[5] Dialpuri, J. S., Bagdonas, H., Schofield, L. C., Pham, P. T., Holland, L., Bond, P. S., Sanchez Rodriguez, F., McNicholas, S. J. &amp; Agirre, J. (2024). </w:t>
      </w:r>
      <w:r>
        <w:rPr>
          <w:rStyle w:val="None"/>
          <w:rFonts w:cs="Arial Unicode MS" w:eastAsia="Arial Unicode MS"/>
          <w:i w:val="1"/>
          <w:iCs w:val="1"/>
          <w:rtl w:val="0"/>
          <w:lang w:val="en-US"/>
        </w:rPr>
        <w:t xml:space="preserve">Acta Cryst. F </w:t>
      </w:r>
      <w:r>
        <w:rPr>
          <w:rStyle w:val="None"/>
          <w:rFonts w:cs="Arial Unicode MS" w:eastAsia="Arial Unicode MS"/>
          <w:b w:val="1"/>
          <w:bCs w:val="1"/>
          <w:rtl w:val="0"/>
          <w:lang w:val="en-US"/>
        </w:rPr>
        <w:t>80</w:t>
      </w:r>
      <w:r>
        <w:rPr>
          <w:rStyle w:val="None A"/>
          <w:rFonts w:cs="Arial Unicode MS" w:eastAsia="Arial Unicode MS"/>
          <w:rtl w:val="0"/>
        </w:rPr>
        <w:t>, 30</w:t>
      </w:r>
      <w:r>
        <w:rPr>
          <w:rStyle w:val="None A"/>
          <w:rFonts w:cs="Arial Unicode MS" w:eastAsia="Arial Unicode MS" w:hint="default"/>
          <w:rtl w:val="0"/>
        </w:rPr>
        <w:t>–</w:t>
      </w:r>
      <w:r>
        <w:rPr>
          <w:rStyle w:val="None A"/>
          <w:rFonts w:cs="Arial Unicode MS" w:eastAsia="Arial Unicode MS"/>
          <w:rtl w:val="0"/>
        </w:rPr>
        <w:t>35.</w:t>
      </w:r>
    </w:p>
    <w:p>
      <w:pPr>
        <w:pStyle w:val="Heading 4"/>
        <w:rPr>
          <w:rStyle w:val="None A"/>
        </w:rPr>
      </w:pPr>
      <w:r>
        <w:rPr>
          <w:rStyle w:val="None A"/>
          <w:rFonts w:cs="Arial Unicode MS" w:eastAsia="Arial Unicode MS"/>
          <w:rtl w:val="0"/>
        </w:rPr>
        <w:t xml:space="preserve">[6] Krissinel, E., Lebedev, A. A., Uski, V., Ballard, C. B., Keegan, R. M., Kovalevskiy, O., Nicholls, R. A., Pannu, N. S., Skubak, P., Berrisford, J., Fando, M., Lohkamp, B., Wojdyr, M., Simpkin, A. J., Thomas, J. M. H., Oliver, C., Vonrhein, C., Chojnowski, G., Basle, A., Purkiss, A., Isupov, M. N., McNicholas, S., Lowe, E., Trivino, J., Cowtan, K., Agirre, J., Rigden, D. J., Uson, I., Lamzin, V., Tews, I., Bricogne, G., Leslie, A. G. W. &amp; Brown, D. G. (2022). </w:t>
      </w:r>
      <w:r>
        <w:rPr>
          <w:rStyle w:val="None"/>
          <w:rFonts w:cs="Arial Unicode MS" w:eastAsia="Arial Unicode MS"/>
          <w:i w:val="1"/>
          <w:iCs w:val="1"/>
          <w:rtl w:val="0"/>
          <w:lang w:val="en-US"/>
        </w:rPr>
        <w:t xml:space="preserve">Acta Cryst. D </w:t>
      </w:r>
      <w:r>
        <w:rPr>
          <w:rStyle w:val="None"/>
          <w:rFonts w:cs="Arial Unicode MS" w:eastAsia="Arial Unicode MS"/>
          <w:b w:val="1"/>
          <w:bCs w:val="1"/>
          <w:rtl w:val="0"/>
          <w:lang w:val="en-US"/>
        </w:rPr>
        <w:t>78</w:t>
      </w:r>
      <w:r>
        <w:rPr>
          <w:rStyle w:val="None A"/>
          <w:rFonts w:cs="Arial Unicode MS" w:eastAsia="Arial Unicode MS"/>
          <w:rtl w:val="0"/>
        </w:rPr>
        <w:t>, 1079</w:t>
      </w:r>
      <w:r>
        <w:rPr>
          <w:rStyle w:val="None A"/>
          <w:rFonts w:cs="Arial Unicode MS" w:eastAsia="Arial Unicode MS" w:hint="default"/>
          <w:rtl w:val="0"/>
        </w:rPr>
        <w:t>–</w:t>
      </w:r>
      <w:r>
        <w:rPr>
          <w:rStyle w:val="None A"/>
          <w:rFonts w:cs="Arial Unicode MS" w:eastAsia="Arial Unicode MS"/>
          <w:rtl w:val="0"/>
        </w:rPr>
        <w:t>1089.</w:t>
      </w:r>
    </w:p>
    <w:p>
      <w:pPr>
        <w:pStyle w:val="Heading 4"/>
      </w:pPr>
      <w:r>
        <w:rPr>
          <w:rStyle w:val="None A"/>
          <w:rFonts w:cs="Arial Unicode MS" w:eastAsia="Arial Unicode MS"/>
          <w:rtl w:val="0"/>
        </w:rPr>
        <w:t xml:space="preserve">[7] Burnley, T., Palmer, C. M. &amp; Winn, M. (2017). </w:t>
      </w:r>
      <w:r>
        <w:rPr>
          <w:rStyle w:val="None"/>
          <w:rFonts w:cs="Arial Unicode MS" w:eastAsia="Arial Unicode MS"/>
          <w:i w:val="1"/>
          <w:iCs w:val="1"/>
          <w:rtl w:val="0"/>
          <w:lang w:val="en-US"/>
        </w:rPr>
        <w:t xml:space="preserve">Acta Cryst. D </w:t>
      </w:r>
      <w:r>
        <w:rPr>
          <w:rStyle w:val="None"/>
          <w:rFonts w:cs="Arial Unicode MS" w:eastAsia="Arial Unicode MS"/>
          <w:b w:val="1"/>
          <w:bCs w:val="1"/>
          <w:rtl w:val="0"/>
          <w:lang w:val="en-US"/>
        </w:rPr>
        <w:t>73</w:t>
      </w:r>
      <w:r>
        <w:rPr>
          <w:rStyle w:val="None A"/>
          <w:rFonts w:cs="Arial Unicode MS" w:eastAsia="Arial Unicode MS"/>
          <w:rtl w:val="0"/>
        </w:rPr>
        <w:t>, 469</w:t>
      </w:r>
      <w:r>
        <w:rPr>
          <w:rStyle w:val="None A"/>
          <w:rFonts w:cs="Arial Unicode MS" w:eastAsia="Arial Unicode MS" w:hint="default"/>
          <w:rtl w:val="0"/>
        </w:rPr>
        <w:t>–</w:t>
      </w:r>
      <w:r>
        <w:rPr>
          <w:rStyle w:val="None A"/>
          <w:rFonts w:cs="Arial Unicode MS" w:eastAsia="Arial Unicode MS"/>
          <w:rtl w:val="0"/>
        </w:rPr>
        <w:t>477.</w:t>
      </w:r>
      <w:r/>
    </w:p>
    <w:sectPr>
      <w:headerReference w:type="default" r:id="rId4"/>
      <w:footerReference w:type="default" r:id="rId5"/>
      <w:pgSz w:w="12240" w:h="15840" w:orient="portrait"/>
      <w:pgMar w:top="765" w:right="720" w:bottom="765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Style w:val="None A"/>
        <w:rtl w:val="0"/>
        <w:lang w:val="en-US"/>
      </w:rPr>
      <w:t>Acta Cryst. (2025). A81, e1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tabs>
        <w:tab w:val="center" w:pos="4703"/>
        <w:tab w:val="right" w:pos="9406"/>
      </w:tabs>
    </w:pPr>
    <w:r>
      <w:rPr>
        <w:b w:val="1"/>
        <w:bCs w:val="1"/>
        <w:rtl w:val="0"/>
      </w:rPr>
      <w:t>MS</w:t>
    </w:r>
    <w:r>
      <w:rPr>
        <w:rStyle w:val="None A"/>
      </w:rPr>
      <w:tab/>
    </w:r>
    <w:r>
      <w:rPr>
        <w:b w:val="1"/>
        <w:bCs w:val="1"/>
        <w:rtl w:val="0"/>
      </w:rPr>
      <w:t>Microsymposium</w:t>
    </w:r>
    <w:r>
      <w:rPr>
        <w:rStyle w:val="None 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2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 A">
    <w:name w:val="None A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12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">
    <w:name w:val="Heading"/>
    <w:next w:val="Heading 2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240" w:after="60" w:line="240" w:lineRule="auto"/>
      <w:ind w:left="0" w:right="0" w:firstLine="0"/>
      <w:jc w:val="center"/>
      <w:outlineLvl w:val="0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Heading 3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240" w:after="240" w:line="240" w:lineRule="auto"/>
      <w:ind w:left="0" w:right="0" w:firstLine="0"/>
      <w:jc w:val="center"/>
      <w:outlineLvl w:val="1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Body A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120" w:line="240" w:lineRule="auto"/>
      <w:ind w:left="0" w:right="0" w:firstLine="0"/>
      <w:jc w:val="center"/>
      <w:outlineLvl w:val="2"/>
    </w:pPr>
    <w:rPr>
      <w:rFonts w:ascii="Times New Roman" w:cs="Times New Roman" w:hAnsi="Times New Roman" w:eastAsia="Times New Roman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ee"/>
      <w:u w:val="single" w:color="0000ee"/>
      <w:lang w:val="nl-NL"/>
      <w14:textFill>
        <w14:solidFill>
          <w14:srgbClr w14:val="0000EE"/>
        </w14:solidFill>
      </w14:textFill>
    </w:rPr>
  </w:style>
  <w:style w:type="paragraph" w:styleId="Heading 4">
    <w:name w:val="Heading 4"/>
    <w:next w:val="Body A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120" w:line="240" w:lineRule="auto"/>
      <w:ind w:left="567" w:right="0" w:hanging="567"/>
      <w:jc w:val="both"/>
      <w:outlineLvl w:val="2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