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2861" w14:textId="77777777" w:rsidR="00D74254" w:rsidRDefault="00D36D1F">
      <w:pPr>
        <w:pStyle w:val="Heading1"/>
      </w:pPr>
      <w:r w:rsidRPr="00D36D1F">
        <w:t xml:space="preserve">Impact of </w:t>
      </w:r>
      <w:proofErr w:type="spellStart"/>
      <w:r w:rsidRPr="00D36D1F">
        <w:t>Coformer</w:t>
      </w:r>
      <w:proofErr w:type="spellEnd"/>
      <w:r w:rsidRPr="00D36D1F">
        <w:t xml:space="preserve"> Substitution on the Formation and Polymorphism of Pharmaceutical Cocrystals</w:t>
      </w:r>
      <w:r w:rsidR="00834AB5">
        <w:t xml:space="preserve"> </w:t>
      </w:r>
    </w:p>
    <w:p w14:paraId="3FDC04DA" w14:textId="77777777" w:rsidR="00D74254" w:rsidRDefault="00D36D1F">
      <w:pPr>
        <w:pStyle w:val="Heading2"/>
      </w:pPr>
      <w:r>
        <w:t>Doris E. Braun</w:t>
      </w:r>
      <w:r w:rsidR="00834AB5">
        <w:rPr>
          <w:vertAlign w:val="superscript"/>
        </w:rPr>
        <w:t>1</w:t>
      </w:r>
      <w:r>
        <w:rPr>
          <w:vertAlign w:val="superscript"/>
        </w:rPr>
        <w:t>,2</w:t>
      </w:r>
    </w:p>
    <w:p w14:paraId="76B30372" w14:textId="77777777" w:rsidR="00D36D1F" w:rsidRPr="00D36D1F" w:rsidRDefault="00D36D1F" w:rsidP="00D36D1F">
      <w:pPr>
        <w:pStyle w:val="Heading3"/>
      </w:pPr>
      <w:r w:rsidRPr="00D36D1F">
        <w:rPr>
          <w:vertAlign w:val="superscript"/>
        </w:rPr>
        <w:t>1</w:t>
      </w:r>
      <w:r w:rsidRPr="00D36D1F">
        <w:t xml:space="preserve">Institute of Pharmacy, University of Innsbruck, </w:t>
      </w:r>
      <w:proofErr w:type="spellStart"/>
      <w:r w:rsidRPr="00D36D1F">
        <w:t>Innrain</w:t>
      </w:r>
      <w:proofErr w:type="spellEnd"/>
      <w:r w:rsidRPr="00D36D1F">
        <w:t xml:space="preserve"> 52c, 6020 Innsbruck, Austria</w:t>
      </w:r>
    </w:p>
    <w:p w14:paraId="4C982DF7" w14:textId="77777777" w:rsidR="00D74254" w:rsidRPr="00D36D1F" w:rsidRDefault="00D36D1F" w:rsidP="00D36D1F">
      <w:pPr>
        <w:pStyle w:val="Heading3"/>
        <w:rPr>
          <w:sz w:val="18"/>
          <w:szCs w:val="18"/>
        </w:rPr>
      </w:pPr>
      <w:r w:rsidRPr="00D36D1F">
        <w:rPr>
          <w:vertAlign w:val="superscript"/>
        </w:rPr>
        <w:t>2</w:t>
      </w:r>
      <w:r w:rsidRPr="00D36D1F">
        <w:t>Christian Doppler Laboratory for Advanced Crystal Engineering Strategies in Drug Development, Institute of Pharmacy, University of Innsbruck, 6020 Innsbruck, Austria</w:t>
      </w:r>
      <w:r w:rsidR="00834AB5" w:rsidRPr="00D36D1F">
        <w:rPr>
          <w:lang w:eastAsia="de-DE"/>
        </w:rPr>
        <w:br/>
      </w:r>
    </w:p>
    <w:p w14:paraId="052838D2" w14:textId="77777777" w:rsidR="00C044D1" w:rsidRDefault="00C044D1" w:rsidP="00C044D1">
      <w:proofErr w:type="spellStart"/>
      <w:r>
        <w:t>Cocrystallization</w:t>
      </w:r>
      <w:proofErr w:type="spellEnd"/>
      <w:r>
        <w:t xml:space="preserve"> is a widely applied strategy to enhance the physicochemical properties of active pharmaceutical ingredients (APIs), with </w:t>
      </w:r>
      <w:r w:rsidR="005E44AD">
        <w:t>some</w:t>
      </w:r>
      <w:r>
        <w:t xml:space="preserve"> pharmaceutical cocrystals already approved and commercialized</w:t>
      </w:r>
      <w:r w:rsidR="00E231AE">
        <w:t xml:space="preserve"> [1]</w:t>
      </w:r>
      <w:r>
        <w:t xml:space="preserve">. However, selecting suitable </w:t>
      </w:r>
      <w:proofErr w:type="spellStart"/>
      <w:r>
        <w:t>coformers</w:t>
      </w:r>
      <w:proofErr w:type="spellEnd"/>
      <w:r>
        <w:t xml:space="preserve"> remains a major challenge due to the complexity of intermolecular interactions and the limitations of current virtual screening methods. This study investigates the </w:t>
      </w:r>
      <w:proofErr w:type="spellStart"/>
      <w:r>
        <w:t>cocrystallization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of two model APIs, metronidazole (MNZ) and griseofulvin (GRF), using structurally related </w:t>
      </w:r>
      <w:proofErr w:type="spellStart"/>
      <w:r>
        <w:t>coformers</w:t>
      </w:r>
      <w:proofErr w:type="spellEnd"/>
      <w:r>
        <w:t xml:space="preserve"> to better understand the impact of </w:t>
      </w:r>
      <w:proofErr w:type="spellStart"/>
      <w:r>
        <w:t>coformer</w:t>
      </w:r>
      <w:proofErr w:type="spellEnd"/>
      <w:r>
        <w:t xml:space="preserve"> substitution on cocrystal formation. Additionally, the selected combinations enabled the study of temperature-dependent phase transformations in three cocrystal polymorph systems.</w:t>
      </w:r>
    </w:p>
    <w:p w14:paraId="73188CD4" w14:textId="79A25F87" w:rsidR="00C044D1" w:rsidRDefault="00C044D1" w:rsidP="00C044D1">
      <w:r>
        <w:t xml:space="preserve">Building on previous work with MNZ and gallic and </w:t>
      </w:r>
      <w:proofErr w:type="spellStart"/>
      <w:r>
        <w:t>gentisic</w:t>
      </w:r>
      <w:proofErr w:type="spellEnd"/>
      <w:r>
        <w:t xml:space="preserve"> acids</w:t>
      </w:r>
      <w:r w:rsidR="00F70A59">
        <w:t xml:space="preserve"> </w:t>
      </w:r>
      <w:r w:rsidR="00E231AE">
        <w:t>[2]</w:t>
      </w:r>
      <w:r w:rsidR="00F70A59">
        <w:t>,</w:t>
      </w:r>
      <w:r>
        <w:t xml:space="preserve"> this presentation expands the screening to include various dihydroxybenzoic acids, gallates, and </w:t>
      </w:r>
      <w:proofErr w:type="spellStart"/>
      <w:r>
        <w:t>benzenetriols</w:t>
      </w:r>
      <w:proofErr w:type="spellEnd"/>
      <w:r>
        <w:t>, resulting in the discovery of four new cocrystals</w:t>
      </w:r>
      <w:r w:rsidR="00E12171">
        <w:t xml:space="preserve"> </w:t>
      </w:r>
      <w:r w:rsidR="00E12171" w:rsidRPr="00E12171">
        <w:t xml:space="preserve">and polymorphic </w:t>
      </w:r>
      <w:r w:rsidR="00E12171" w:rsidRPr="003561B7">
        <w:t xml:space="preserve">forms of </w:t>
      </w:r>
      <w:r w:rsidR="008F7112" w:rsidRPr="003561B7">
        <w:t>one</w:t>
      </w:r>
      <w:r w:rsidR="00E12171" w:rsidRPr="003561B7">
        <w:t xml:space="preserve"> of</w:t>
      </w:r>
      <w:r w:rsidR="00E12171" w:rsidRPr="00E12171">
        <w:t xml:space="preserve"> these cocrystal</w:t>
      </w:r>
      <w:r w:rsidR="008F7112">
        <w:t xml:space="preserve"> systems</w:t>
      </w:r>
      <w:r>
        <w:t xml:space="preserve">. For GRF, a range of phenolic </w:t>
      </w:r>
      <w:proofErr w:type="spellStart"/>
      <w:r>
        <w:t>coformers</w:t>
      </w:r>
      <w:proofErr w:type="spellEnd"/>
      <w:r>
        <w:t xml:space="preserve"> were explored</w:t>
      </w:r>
      <w:r w:rsidR="00F70A59">
        <w:t xml:space="preserve"> </w:t>
      </w:r>
      <w:r w:rsidR="00E231AE">
        <w:t>[3]</w:t>
      </w:r>
      <w:r w:rsidR="00F70A59">
        <w:t>,</w:t>
      </w:r>
      <w:r>
        <w:t xml:space="preserve"> leading to the discovery of three new cocrystals. Substituent effects </w:t>
      </w:r>
      <w:r w:rsidR="00E12171">
        <w:t xml:space="preserve">are </w:t>
      </w:r>
      <w:r>
        <w:t>evident for both systems</w:t>
      </w:r>
      <w:r w:rsidR="00F70A59">
        <w:t>.</w:t>
      </w:r>
      <w:r>
        <w:t xml:space="preserve"> </w:t>
      </w:r>
      <w:r w:rsidR="00F70A59">
        <w:t>In case of</w:t>
      </w:r>
      <w:r>
        <w:t xml:space="preserve"> GRF, carbon substituents at </w:t>
      </w:r>
      <w:r w:rsidRPr="00F70A59">
        <w:rPr>
          <w:i/>
        </w:rPr>
        <w:t>ortho</w:t>
      </w:r>
      <w:r>
        <w:t xml:space="preserve"> or </w:t>
      </w:r>
      <w:r w:rsidRPr="00F70A59">
        <w:rPr>
          <w:i/>
        </w:rPr>
        <w:t>meta</w:t>
      </w:r>
      <w:r>
        <w:t xml:space="preserve"> positions </w:t>
      </w:r>
      <w:r w:rsidR="00E12171">
        <w:t xml:space="preserve">hinders </w:t>
      </w:r>
      <w:proofErr w:type="spellStart"/>
      <w:r>
        <w:t>cocrystallization</w:t>
      </w:r>
      <w:proofErr w:type="spellEnd"/>
      <w:r>
        <w:t xml:space="preserve">, while chlorine substituents, especially at </w:t>
      </w:r>
      <w:r w:rsidRPr="00F70A59">
        <w:rPr>
          <w:i/>
        </w:rPr>
        <w:t xml:space="preserve">ortho </w:t>
      </w:r>
      <w:r>
        <w:t xml:space="preserve">and </w:t>
      </w:r>
      <w:r w:rsidRPr="00F70A59">
        <w:rPr>
          <w:i/>
        </w:rPr>
        <w:t>para</w:t>
      </w:r>
      <w:r>
        <w:t xml:space="preserve"> positions, </w:t>
      </w:r>
      <w:r w:rsidR="00E12171">
        <w:t xml:space="preserve">promotes </w:t>
      </w:r>
      <w:r>
        <w:t>it through electron-withdrawing effects that enhanced hydrogen bonding interactions.</w:t>
      </w:r>
    </w:p>
    <w:p w14:paraId="0FDF983B" w14:textId="26EEE42F" w:rsidR="00C044D1" w:rsidRDefault="00C044D1" w:rsidP="00C044D1">
      <w:r>
        <w:t xml:space="preserve">Experimental screening methods, including liquid-assisted grinding (LAG), slurry-mediated transformations, and </w:t>
      </w:r>
      <w:r w:rsidR="00180C3F">
        <w:t xml:space="preserve">microscopic </w:t>
      </w:r>
      <w:r>
        <w:t>contact preparation, were complemented by virtual screening tools to assess their predictive power. Virtual methods, such as molecular complementarity</w:t>
      </w:r>
      <w:r w:rsidR="00E231AE">
        <w:t xml:space="preserve"> </w:t>
      </w:r>
      <w:r w:rsidR="00E231AE">
        <w:rPr>
          <w:lang w:eastAsia="cs-CZ"/>
        </w:rPr>
        <w:t xml:space="preserve">[4], </w:t>
      </w:r>
      <w:r>
        <w:t>multi-component hydrogen-bond propensity</w:t>
      </w:r>
      <w:r w:rsidR="00E231AE">
        <w:t xml:space="preserve"> </w:t>
      </w:r>
      <w:r w:rsidR="00E231AE">
        <w:rPr>
          <w:lang w:eastAsia="cs-CZ"/>
        </w:rPr>
        <w:t>[5]</w:t>
      </w:r>
      <w:r>
        <w:t>, and molecular electrostatic potential analysis</w:t>
      </w:r>
      <w:r w:rsidR="00E231AE">
        <w:t xml:space="preserve"> </w:t>
      </w:r>
      <w:r w:rsidR="00E231AE">
        <w:rPr>
          <w:lang w:eastAsia="cs-CZ"/>
        </w:rPr>
        <w:t>[5]</w:t>
      </w:r>
      <w:r>
        <w:t xml:space="preserve">, suggested possible </w:t>
      </w:r>
      <w:proofErr w:type="spellStart"/>
      <w:r>
        <w:t>coformers</w:t>
      </w:r>
      <w:proofErr w:type="spellEnd"/>
      <w:r>
        <w:t xml:space="preserve"> but showed limited predictive consistency. In contrast, crystal structure prediction</w:t>
      </w:r>
      <w:r w:rsidR="00F70A59">
        <w:t xml:space="preserve"> [7]</w:t>
      </w:r>
      <w:r>
        <w:t xml:space="preserve"> emerged as the most reliable tool, successfully identifying all observed cocrystal combinations and providing valuable structural insights. Experimental characterization techniques, including X-ray diffraction, infrared spectroscopy, and thermal analyses (DSC and TGA), alongside pairwise intermolecular energy calculations, further elucidated key interaction motifs responsible for cocrystal stability.</w:t>
      </w:r>
    </w:p>
    <w:p w14:paraId="0FDFC29D" w14:textId="77777777" w:rsidR="00C044D1" w:rsidRDefault="005E44AD" w:rsidP="00C044D1">
      <w:r w:rsidRPr="005E44AD">
        <w:t xml:space="preserve">These findings highlight the critical role of integrated experimental and computational approaches in advancing rational cocrystal design, understanding polymorphic transformations in cocrystals, and improving </w:t>
      </w:r>
      <w:proofErr w:type="spellStart"/>
      <w:r w:rsidRPr="005E44AD">
        <w:t>coformer</w:t>
      </w:r>
      <w:proofErr w:type="spellEnd"/>
      <w:r w:rsidRPr="005E44AD">
        <w:t xml:space="preserve"> selection strategies.</w:t>
      </w:r>
    </w:p>
    <w:p w14:paraId="1639B6D6" w14:textId="77777777" w:rsidR="00D74254" w:rsidRDefault="00D74254"/>
    <w:p w14:paraId="3F27F341" w14:textId="77777777" w:rsidR="00E231AE" w:rsidRPr="00F70A59" w:rsidRDefault="00834AB5">
      <w:pPr>
        <w:pStyle w:val="Heading4"/>
        <w:rPr>
          <w:szCs w:val="18"/>
          <w:lang w:val="en-US"/>
        </w:rPr>
      </w:pPr>
      <w:r w:rsidRPr="00F70A59">
        <w:rPr>
          <w:szCs w:val="18"/>
          <w:lang w:val="en-US"/>
        </w:rPr>
        <w:t xml:space="preserve">[1] </w:t>
      </w:r>
      <w:r w:rsidR="00E231AE" w:rsidRPr="00F70A59">
        <w:rPr>
          <w:szCs w:val="18"/>
          <w:lang w:val="en-US"/>
        </w:rPr>
        <w:t xml:space="preserve">Karimi-Jafari, M., </w:t>
      </w:r>
      <w:proofErr w:type="spellStart"/>
      <w:r w:rsidR="00E231AE" w:rsidRPr="00F70A59">
        <w:rPr>
          <w:szCs w:val="18"/>
          <w:lang w:val="en-US"/>
        </w:rPr>
        <w:t>Padrela</w:t>
      </w:r>
      <w:proofErr w:type="spellEnd"/>
      <w:r w:rsidR="00E231AE" w:rsidRPr="00F70A59">
        <w:rPr>
          <w:szCs w:val="18"/>
          <w:lang w:val="en-US"/>
        </w:rPr>
        <w:t xml:space="preserve">, L.; Walker, G. M.; Croker, D. M. (2018). </w:t>
      </w:r>
      <w:r w:rsidR="00E231AE" w:rsidRPr="00F70A59">
        <w:rPr>
          <w:i/>
          <w:szCs w:val="18"/>
          <w:lang w:val="en-US"/>
        </w:rPr>
        <w:t>Crystal Growth &amp; Design</w:t>
      </w:r>
      <w:r w:rsidR="00E231AE" w:rsidRPr="00F70A59">
        <w:rPr>
          <w:szCs w:val="18"/>
          <w:lang w:val="en-US"/>
        </w:rPr>
        <w:t xml:space="preserve">, </w:t>
      </w:r>
      <w:r w:rsidR="00E231AE" w:rsidRPr="00F70A59">
        <w:rPr>
          <w:b/>
          <w:szCs w:val="18"/>
          <w:lang w:val="en-US"/>
        </w:rPr>
        <w:t>18</w:t>
      </w:r>
      <w:r w:rsidR="00E231AE" w:rsidRPr="00F70A59">
        <w:rPr>
          <w:szCs w:val="18"/>
          <w:lang w:val="en-US"/>
        </w:rPr>
        <w:t>, 6370.</w:t>
      </w:r>
    </w:p>
    <w:p w14:paraId="7AABD156" w14:textId="77777777" w:rsidR="00D74254" w:rsidRPr="00F70A59" w:rsidRDefault="00834AB5">
      <w:pPr>
        <w:pStyle w:val="Heading4"/>
        <w:rPr>
          <w:szCs w:val="18"/>
        </w:rPr>
      </w:pPr>
      <w:r w:rsidRPr="00F70A59">
        <w:rPr>
          <w:szCs w:val="18"/>
        </w:rPr>
        <w:t xml:space="preserve">[2] </w:t>
      </w:r>
      <w:proofErr w:type="spellStart"/>
      <w:r w:rsidR="00E231AE" w:rsidRPr="00F70A59">
        <w:rPr>
          <w:szCs w:val="18"/>
        </w:rPr>
        <w:t>Dyba</w:t>
      </w:r>
      <w:proofErr w:type="spellEnd"/>
      <w:r w:rsidR="00E231AE" w:rsidRPr="00F70A59">
        <w:rPr>
          <w:szCs w:val="18"/>
        </w:rPr>
        <w:t xml:space="preserve">, A. J.; </w:t>
      </w:r>
      <w:proofErr w:type="spellStart"/>
      <w:r w:rsidR="00E231AE" w:rsidRPr="00F70A59">
        <w:rPr>
          <w:szCs w:val="18"/>
        </w:rPr>
        <w:t>Wiącek</w:t>
      </w:r>
      <w:proofErr w:type="spellEnd"/>
      <w:r w:rsidR="00E231AE" w:rsidRPr="00F70A59">
        <w:rPr>
          <w:szCs w:val="18"/>
        </w:rPr>
        <w:t xml:space="preserve">, E.; Nowak, M.; </w:t>
      </w:r>
      <w:proofErr w:type="spellStart"/>
      <w:r w:rsidR="00E231AE" w:rsidRPr="00F70A59">
        <w:rPr>
          <w:szCs w:val="18"/>
        </w:rPr>
        <w:t>Janczak</w:t>
      </w:r>
      <w:proofErr w:type="spellEnd"/>
      <w:r w:rsidR="00E231AE" w:rsidRPr="00F70A59">
        <w:rPr>
          <w:szCs w:val="18"/>
        </w:rPr>
        <w:t xml:space="preserve">, J.; </w:t>
      </w:r>
      <w:proofErr w:type="spellStart"/>
      <w:r w:rsidR="00E231AE" w:rsidRPr="00F70A59">
        <w:rPr>
          <w:szCs w:val="18"/>
        </w:rPr>
        <w:t>Nartowski</w:t>
      </w:r>
      <w:proofErr w:type="spellEnd"/>
      <w:r w:rsidR="00E231AE" w:rsidRPr="00F70A59">
        <w:rPr>
          <w:szCs w:val="18"/>
        </w:rPr>
        <w:t xml:space="preserve">, K. P.; Braun, D. E. (2023). </w:t>
      </w:r>
      <w:r w:rsidR="00E231AE" w:rsidRPr="00F70A59">
        <w:rPr>
          <w:i/>
          <w:szCs w:val="18"/>
        </w:rPr>
        <w:t>Crystal Growth &amp; Design</w:t>
      </w:r>
      <w:r w:rsidR="00E231AE" w:rsidRPr="00F70A59">
        <w:rPr>
          <w:szCs w:val="18"/>
        </w:rPr>
        <w:t xml:space="preserve">, </w:t>
      </w:r>
      <w:r w:rsidR="00E231AE" w:rsidRPr="00F70A59">
        <w:rPr>
          <w:b/>
          <w:szCs w:val="18"/>
        </w:rPr>
        <w:t>23</w:t>
      </w:r>
      <w:r w:rsidR="00E231AE" w:rsidRPr="00F70A59">
        <w:rPr>
          <w:szCs w:val="18"/>
        </w:rPr>
        <w:t>, 8241</w:t>
      </w:r>
      <w:r w:rsidRPr="00F70A59">
        <w:rPr>
          <w:szCs w:val="18"/>
        </w:rPr>
        <w:t>.</w:t>
      </w:r>
    </w:p>
    <w:p w14:paraId="2C8AD072" w14:textId="77777777" w:rsidR="00D74254" w:rsidRPr="00F70A59" w:rsidRDefault="00834AB5">
      <w:pPr>
        <w:pStyle w:val="Heading4"/>
        <w:rPr>
          <w:szCs w:val="18"/>
        </w:rPr>
      </w:pPr>
      <w:r w:rsidRPr="00F70A59">
        <w:rPr>
          <w:szCs w:val="18"/>
          <w:lang w:val="en-US"/>
        </w:rPr>
        <w:t xml:space="preserve">[3] </w:t>
      </w:r>
      <w:proofErr w:type="spellStart"/>
      <w:r w:rsidR="00E231AE" w:rsidRPr="00F70A59">
        <w:rPr>
          <w:szCs w:val="18"/>
          <w:lang w:val="en-US"/>
        </w:rPr>
        <w:t>Lässer</w:t>
      </w:r>
      <w:proofErr w:type="spellEnd"/>
      <w:r w:rsidR="00E231AE" w:rsidRPr="00F70A59">
        <w:rPr>
          <w:szCs w:val="18"/>
          <w:lang w:val="en-US"/>
        </w:rPr>
        <w:t xml:space="preserve">, J.; Braun, D. E. (2025). </w:t>
      </w:r>
      <w:r w:rsidR="00E231AE" w:rsidRPr="00F70A59">
        <w:rPr>
          <w:i/>
          <w:szCs w:val="18"/>
        </w:rPr>
        <w:t>Crystal Growth &amp; Design,</w:t>
      </w:r>
      <w:r w:rsidR="00E231AE" w:rsidRPr="00F70A59">
        <w:rPr>
          <w:szCs w:val="18"/>
        </w:rPr>
        <w:t xml:space="preserve"> </w:t>
      </w:r>
      <w:r w:rsidR="00E231AE" w:rsidRPr="00F70A59">
        <w:rPr>
          <w:b/>
          <w:szCs w:val="18"/>
        </w:rPr>
        <w:t>25</w:t>
      </w:r>
      <w:r w:rsidR="00E231AE" w:rsidRPr="00F70A59">
        <w:rPr>
          <w:szCs w:val="18"/>
        </w:rPr>
        <w:t>, 1688.</w:t>
      </w:r>
    </w:p>
    <w:p w14:paraId="646B7729" w14:textId="77777777" w:rsidR="00E231AE" w:rsidRPr="00F70A59" w:rsidRDefault="00E231AE" w:rsidP="00E231AE">
      <w:pPr>
        <w:rPr>
          <w:sz w:val="18"/>
          <w:szCs w:val="18"/>
          <w:lang w:eastAsia="cs-CZ"/>
        </w:rPr>
      </w:pPr>
      <w:r w:rsidRPr="00F70A59">
        <w:rPr>
          <w:sz w:val="18"/>
          <w:szCs w:val="18"/>
          <w:lang w:eastAsia="cs-CZ"/>
        </w:rPr>
        <w:t xml:space="preserve">[4] </w:t>
      </w:r>
      <w:proofErr w:type="spellStart"/>
      <w:r w:rsidRPr="00F70A59">
        <w:rPr>
          <w:sz w:val="18"/>
          <w:szCs w:val="18"/>
          <w:lang w:eastAsia="cs-CZ"/>
        </w:rPr>
        <w:t>Fábián</w:t>
      </w:r>
      <w:proofErr w:type="spellEnd"/>
      <w:r w:rsidRPr="00F70A59">
        <w:rPr>
          <w:sz w:val="18"/>
          <w:szCs w:val="18"/>
          <w:lang w:eastAsia="cs-CZ"/>
        </w:rPr>
        <w:t xml:space="preserve"> L. (2009). </w:t>
      </w:r>
      <w:proofErr w:type="spellStart"/>
      <w:r w:rsidRPr="00F70A59">
        <w:rPr>
          <w:sz w:val="18"/>
          <w:szCs w:val="18"/>
          <w:lang w:eastAsia="cs-CZ"/>
        </w:rPr>
        <w:t>Cryst</w:t>
      </w:r>
      <w:proofErr w:type="spellEnd"/>
      <w:r w:rsidRPr="00F70A59">
        <w:rPr>
          <w:sz w:val="18"/>
          <w:szCs w:val="18"/>
          <w:lang w:eastAsia="cs-CZ"/>
        </w:rPr>
        <w:t>. Growth. Des., 9, 1436-1443.</w:t>
      </w:r>
    </w:p>
    <w:p w14:paraId="09C74042" w14:textId="53911E54" w:rsidR="00E231AE" w:rsidRPr="00F70A59" w:rsidRDefault="00E231AE" w:rsidP="00E231AE">
      <w:pPr>
        <w:rPr>
          <w:sz w:val="18"/>
          <w:szCs w:val="18"/>
          <w:lang w:val="de-DE" w:eastAsia="cs-CZ"/>
        </w:rPr>
      </w:pPr>
      <w:r w:rsidRPr="00F70A59">
        <w:rPr>
          <w:sz w:val="18"/>
          <w:szCs w:val="18"/>
          <w:lang w:eastAsia="cs-CZ"/>
        </w:rPr>
        <w:t xml:space="preserve">[5] </w:t>
      </w:r>
      <w:proofErr w:type="spellStart"/>
      <w:r w:rsidRPr="00F70A59">
        <w:rPr>
          <w:sz w:val="18"/>
          <w:szCs w:val="18"/>
          <w:lang w:eastAsia="cs-CZ"/>
        </w:rPr>
        <w:t>Galek</w:t>
      </w:r>
      <w:proofErr w:type="spellEnd"/>
      <w:r w:rsidRPr="00F70A59">
        <w:rPr>
          <w:sz w:val="18"/>
          <w:szCs w:val="18"/>
          <w:lang w:eastAsia="cs-CZ"/>
        </w:rPr>
        <w:t xml:space="preserve"> P.T.</w:t>
      </w:r>
      <w:r w:rsidR="00F70A59">
        <w:rPr>
          <w:sz w:val="18"/>
          <w:szCs w:val="18"/>
          <w:lang w:eastAsia="cs-CZ"/>
        </w:rPr>
        <w:t>;</w:t>
      </w:r>
      <w:r w:rsidR="00F70A59" w:rsidRPr="00F70A59">
        <w:rPr>
          <w:noProof/>
        </w:rPr>
        <w:t xml:space="preserve"> Fabian, L.;  Motherwell, W. D. S.;  Allen, F. H.; Feeder, N</w:t>
      </w:r>
      <w:r w:rsidR="003561B7">
        <w:rPr>
          <w:noProof/>
        </w:rPr>
        <w:t>.</w:t>
      </w:r>
      <w:bookmarkStart w:id="0" w:name="_GoBack"/>
      <w:bookmarkEnd w:id="0"/>
      <w:r w:rsidRPr="00F70A59">
        <w:rPr>
          <w:sz w:val="18"/>
          <w:szCs w:val="18"/>
          <w:lang w:eastAsia="cs-CZ"/>
        </w:rPr>
        <w:t xml:space="preserve"> (2007). </w:t>
      </w:r>
      <w:r w:rsidRPr="00F70A59">
        <w:rPr>
          <w:i/>
          <w:sz w:val="18"/>
          <w:szCs w:val="18"/>
          <w:lang w:eastAsia="cs-CZ"/>
        </w:rPr>
        <w:t xml:space="preserve">Acta </w:t>
      </w:r>
      <w:proofErr w:type="spellStart"/>
      <w:r w:rsidRPr="00F70A59">
        <w:rPr>
          <w:i/>
          <w:sz w:val="18"/>
          <w:szCs w:val="18"/>
          <w:lang w:eastAsia="cs-CZ"/>
        </w:rPr>
        <w:t>Crystallogr</w:t>
      </w:r>
      <w:proofErr w:type="spellEnd"/>
      <w:r w:rsidRPr="00F70A59">
        <w:rPr>
          <w:i/>
          <w:sz w:val="18"/>
          <w:szCs w:val="18"/>
          <w:lang w:eastAsia="cs-CZ"/>
        </w:rPr>
        <w:t xml:space="preserve">. </w:t>
      </w:r>
      <w:r w:rsidRPr="00F70A59">
        <w:rPr>
          <w:i/>
          <w:sz w:val="18"/>
          <w:szCs w:val="18"/>
          <w:lang w:val="de-DE" w:eastAsia="cs-CZ"/>
        </w:rPr>
        <w:t>B</w:t>
      </w:r>
      <w:r w:rsidRPr="00F70A59">
        <w:rPr>
          <w:sz w:val="18"/>
          <w:szCs w:val="18"/>
          <w:lang w:val="de-DE" w:eastAsia="cs-CZ"/>
        </w:rPr>
        <w:t xml:space="preserve">, </w:t>
      </w:r>
      <w:r w:rsidRPr="00F70A59">
        <w:rPr>
          <w:b/>
          <w:sz w:val="18"/>
          <w:szCs w:val="18"/>
          <w:lang w:val="de-DE" w:eastAsia="cs-CZ"/>
        </w:rPr>
        <w:t>63</w:t>
      </w:r>
      <w:r w:rsidRPr="00F70A59">
        <w:rPr>
          <w:sz w:val="18"/>
          <w:szCs w:val="18"/>
          <w:lang w:val="de-DE" w:eastAsia="cs-CZ"/>
        </w:rPr>
        <w:t>, 768.</w:t>
      </w:r>
    </w:p>
    <w:p w14:paraId="3BF8C7B8" w14:textId="77777777" w:rsidR="00E231AE" w:rsidRPr="00F70A59" w:rsidRDefault="00E231AE" w:rsidP="00E231AE">
      <w:pPr>
        <w:rPr>
          <w:sz w:val="18"/>
          <w:szCs w:val="18"/>
          <w:lang w:eastAsia="cs-CZ"/>
        </w:rPr>
      </w:pPr>
      <w:r w:rsidRPr="00F70A59">
        <w:rPr>
          <w:sz w:val="18"/>
          <w:szCs w:val="18"/>
          <w:lang w:val="de-DE" w:eastAsia="cs-CZ"/>
        </w:rPr>
        <w:t xml:space="preserve">[6] </w:t>
      </w:r>
      <w:proofErr w:type="spellStart"/>
      <w:r w:rsidRPr="00F70A59">
        <w:rPr>
          <w:sz w:val="18"/>
          <w:szCs w:val="18"/>
          <w:lang w:val="de-DE" w:eastAsia="cs-CZ"/>
        </w:rPr>
        <w:t>Musumeci</w:t>
      </w:r>
      <w:proofErr w:type="spellEnd"/>
      <w:r w:rsidR="00F70A59">
        <w:rPr>
          <w:sz w:val="18"/>
          <w:szCs w:val="18"/>
          <w:lang w:val="de-DE" w:eastAsia="cs-CZ"/>
        </w:rPr>
        <w:t xml:space="preserve">, D.; </w:t>
      </w:r>
      <w:r w:rsidR="00F70A59" w:rsidRPr="00F70A59">
        <w:rPr>
          <w:noProof/>
          <w:lang w:val="de-DE"/>
        </w:rPr>
        <w:t>Hunter, C. A.;  Prohens, R.;  Scuderi, S.; McCabe, J. F</w:t>
      </w:r>
      <w:r w:rsidRPr="00F70A59">
        <w:rPr>
          <w:sz w:val="18"/>
          <w:szCs w:val="18"/>
          <w:lang w:val="de-DE" w:eastAsia="cs-CZ"/>
        </w:rPr>
        <w:t xml:space="preserve">. (2011). </w:t>
      </w:r>
      <w:r w:rsidRPr="00F70A59">
        <w:rPr>
          <w:i/>
          <w:sz w:val="18"/>
          <w:szCs w:val="18"/>
          <w:lang w:eastAsia="cs-CZ"/>
        </w:rPr>
        <w:t>Chem. Sci</w:t>
      </w:r>
      <w:r w:rsidRPr="00F70A59">
        <w:rPr>
          <w:sz w:val="18"/>
          <w:szCs w:val="18"/>
          <w:lang w:eastAsia="cs-CZ"/>
        </w:rPr>
        <w:t xml:space="preserve">., </w:t>
      </w:r>
      <w:r w:rsidRPr="00F70A59">
        <w:rPr>
          <w:b/>
          <w:sz w:val="18"/>
          <w:szCs w:val="18"/>
          <w:lang w:eastAsia="cs-CZ"/>
        </w:rPr>
        <w:t>2</w:t>
      </w:r>
      <w:r w:rsidRPr="00F70A59">
        <w:rPr>
          <w:sz w:val="18"/>
          <w:szCs w:val="18"/>
          <w:lang w:eastAsia="cs-CZ"/>
        </w:rPr>
        <w:t>, 883.</w:t>
      </w:r>
    </w:p>
    <w:p w14:paraId="5212A9F8" w14:textId="77777777" w:rsidR="00F70A59" w:rsidRPr="00F70A59" w:rsidRDefault="00F70A59" w:rsidP="00F70A59">
      <w:pPr>
        <w:rPr>
          <w:sz w:val="18"/>
          <w:szCs w:val="18"/>
          <w:lang w:eastAsia="cs-CZ"/>
        </w:rPr>
      </w:pPr>
      <w:r w:rsidRPr="00F70A59">
        <w:rPr>
          <w:sz w:val="18"/>
          <w:szCs w:val="18"/>
          <w:lang w:eastAsia="cs-CZ"/>
        </w:rPr>
        <w:t xml:space="preserve">[7] </w:t>
      </w:r>
      <w:r w:rsidRPr="00F70A59">
        <w:rPr>
          <w:noProof/>
          <w:sz w:val="18"/>
          <w:szCs w:val="18"/>
        </w:rPr>
        <w:t xml:space="preserve">Sugden, I. J.;  Braun, D. E.;  Bowskill, D. H.;  Adjiman, C. S.; Pantelides, C. C. (2022). </w:t>
      </w:r>
      <w:r w:rsidRPr="00F70A59">
        <w:rPr>
          <w:i/>
          <w:noProof/>
          <w:sz w:val="18"/>
          <w:szCs w:val="18"/>
        </w:rPr>
        <w:t xml:space="preserve">Crystal Growth &amp; Design </w:t>
      </w:r>
      <w:r w:rsidRPr="00F70A59">
        <w:rPr>
          <w:b/>
          <w:noProof/>
          <w:sz w:val="18"/>
          <w:szCs w:val="18"/>
        </w:rPr>
        <w:t>2022,</w:t>
      </w:r>
      <w:r w:rsidRPr="00F70A59">
        <w:rPr>
          <w:noProof/>
          <w:sz w:val="18"/>
          <w:szCs w:val="18"/>
        </w:rPr>
        <w:t xml:space="preserve"> </w:t>
      </w:r>
      <w:r w:rsidRPr="00F70A59">
        <w:rPr>
          <w:i/>
          <w:noProof/>
          <w:sz w:val="18"/>
          <w:szCs w:val="18"/>
        </w:rPr>
        <w:t>22</w:t>
      </w:r>
      <w:r w:rsidRPr="00F70A59">
        <w:rPr>
          <w:noProof/>
          <w:sz w:val="18"/>
          <w:szCs w:val="18"/>
        </w:rPr>
        <w:t>, 4513.</w:t>
      </w:r>
    </w:p>
    <w:p w14:paraId="310F7DEA" w14:textId="77777777" w:rsidR="00D74254" w:rsidRDefault="00D74254">
      <w:pPr>
        <w:pStyle w:val="Acknowledgement"/>
      </w:pPr>
    </w:p>
    <w:p w14:paraId="1E6CB224" w14:textId="77777777" w:rsidR="00F70A59" w:rsidRDefault="00F70A59">
      <w:pPr>
        <w:pStyle w:val="Acknowledgement"/>
      </w:pPr>
    </w:p>
    <w:sectPr w:rsidR="00F70A59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4078" w14:textId="77777777" w:rsidR="00B020F5" w:rsidRDefault="00B020F5">
      <w:pPr>
        <w:spacing w:after="0"/>
      </w:pPr>
      <w:r>
        <w:separator/>
      </w:r>
    </w:p>
  </w:endnote>
  <w:endnote w:type="continuationSeparator" w:id="0">
    <w:p w14:paraId="5E331C20" w14:textId="77777777" w:rsidR="00B020F5" w:rsidRDefault="00B02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4BB0" w14:textId="77777777" w:rsidR="00D74254" w:rsidRDefault="00834AB5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522460E" w14:textId="77777777" w:rsidR="00D74254" w:rsidRDefault="00D7425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4EFE" w14:textId="77777777" w:rsidR="00B020F5" w:rsidRDefault="00B020F5">
      <w:pPr>
        <w:spacing w:after="0"/>
      </w:pPr>
      <w:r>
        <w:separator/>
      </w:r>
    </w:p>
  </w:footnote>
  <w:footnote w:type="continuationSeparator" w:id="0">
    <w:p w14:paraId="56DBBD68" w14:textId="77777777" w:rsidR="00B020F5" w:rsidRDefault="00B020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9B5A" w14:textId="77777777" w:rsidR="00D74254" w:rsidRDefault="00834AB5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w2festmxwswbe5vd9xzramar0ezzfz90sp&quot;&gt;References&lt;record-ids&gt;&lt;item&gt;7294&lt;/item&gt;&lt;/record-ids&gt;&lt;/item&gt;&lt;/Libraries&gt;"/>
  </w:docVars>
  <w:rsids>
    <w:rsidRoot w:val="00D74254"/>
    <w:rsid w:val="00180C3F"/>
    <w:rsid w:val="003561B7"/>
    <w:rsid w:val="00412903"/>
    <w:rsid w:val="005E44AD"/>
    <w:rsid w:val="00834AB5"/>
    <w:rsid w:val="008F7112"/>
    <w:rsid w:val="00B020F5"/>
    <w:rsid w:val="00C044D1"/>
    <w:rsid w:val="00D36D1F"/>
    <w:rsid w:val="00D74254"/>
    <w:rsid w:val="00E12171"/>
    <w:rsid w:val="00E231AE"/>
    <w:rsid w:val="00F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8869CA"/>
  <w15:docId w15:val="{8E4FAE54-7364-4FD5-BE32-C868B0DC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E44AD"/>
    <w:pPr>
      <w:spacing w:after="0"/>
      <w:jc w:val="center"/>
    </w:pPr>
    <w:rPr>
      <w:noProof/>
      <w:lang w:val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E44AD"/>
    <w:rPr>
      <w:noProof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5E44AD"/>
    <w:rPr>
      <w:noProof/>
      <w:lang w:val="de-DE"/>
    </w:rPr>
  </w:style>
  <w:style w:type="character" w:customStyle="1" w:styleId="EndNoteBibliographyChar">
    <w:name w:val="EndNote Bibliography Char"/>
    <w:basedOn w:val="DefaultParagraphFont"/>
    <w:link w:val="EndNoteBibliography"/>
    <w:rsid w:val="005E44AD"/>
    <w:rPr>
      <w:noProof/>
      <w:lang w:val="de-DE" w:eastAsia="de-DE"/>
    </w:rPr>
  </w:style>
  <w:style w:type="character" w:styleId="Strong">
    <w:name w:val="Strong"/>
    <w:uiPriority w:val="22"/>
    <w:qFormat/>
    <w:rsid w:val="00F7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21233-78D1-40D6-BCE8-26B550BA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Doris Braun</cp:lastModifiedBy>
  <cp:revision>2</cp:revision>
  <dcterms:created xsi:type="dcterms:W3CDTF">2025-04-28T10:14:00Z</dcterms:created>
  <dcterms:modified xsi:type="dcterms:W3CDTF">2025-04-28T10:14:00Z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