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0D27" w14:textId="4EA1550D" w:rsidR="001054F1" w:rsidRDefault="00DC3EFE" w:rsidP="001054F1">
      <w:pPr>
        <w:jc w:val="center"/>
        <w:rPr>
          <w:rFonts w:ascii="Times New Roman" w:hAnsi="Times New Roman" w:cs="Times New Roman"/>
          <w:b/>
          <w:bCs/>
          <w:sz w:val="28"/>
          <w:szCs w:val="36"/>
        </w:rPr>
      </w:pPr>
      <w:r>
        <w:rPr>
          <w:rFonts w:ascii="Times New Roman" w:hAnsi="Times New Roman" w:cs="Times New Roman"/>
          <w:b/>
          <w:bCs/>
          <w:sz w:val="28"/>
          <w:szCs w:val="36"/>
        </w:rPr>
        <w:t>Crystal Engineering</w:t>
      </w:r>
      <w:r w:rsidR="001054F1">
        <w:rPr>
          <w:rFonts w:ascii="Times New Roman" w:hAnsi="Times New Roman" w:cs="Times New Roman"/>
          <w:b/>
          <w:bCs/>
          <w:sz w:val="28"/>
          <w:szCs w:val="36"/>
        </w:rPr>
        <w:t xml:space="preserve"> o</w:t>
      </w:r>
      <w:r>
        <w:rPr>
          <w:rFonts w:ascii="Times New Roman" w:hAnsi="Times New Roman" w:cs="Times New Roman"/>
          <w:b/>
          <w:bCs/>
          <w:sz w:val="28"/>
          <w:szCs w:val="36"/>
        </w:rPr>
        <w:t>f Bismuth Iodide Derivatives</w:t>
      </w:r>
    </w:p>
    <w:p w14:paraId="611BFFE2" w14:textId="15F2FFCD" w:rsidR="00E90A11" w:rsidRPr="00E167C5" w:rsidRDefault="00DC3EFE" w:rsidP="001054F1">
      <w:pPr>
        <w:jc w:val="center"/>
        <w:rPr>
          <w:rFonts w:ascii="Times New Roman" w:hAnsi="Times New Roman" w:cs="Times New Roman"/>
          <w:b/>
          <w:bCs/>
          <w:sz w:val="28"/>
          <w:szCs w:val="36"/>
        </w:rPr>
      </w:pPr>
      <w:r>
        <w:rPr>
          <w:rFonts w:ascii="Times New Roman" w:hAnsi="Times New Roman" w:cs="Times New Roman"/>
          <w:b/>
          <w:bCs/>
          <w:sz w:val="28"/>
          <w:szCs w:val="36"/>
        </w:rPr>
        <w:t xml:space="preserve">for </w:t>
      </w:r>
      <w:r w:rsidR="00F51BFB" w:rsidRPr="00F51BFB">
        <w:rPr>
          <w:rFonts w:ascii="Times New Roman" w:hAnsi="Times New Roman" w:cs="Times New Roman"/>
          <w:b/>
          <w:bCs/>
          <w:sz w:val="28"/>
          <w:szCs w:val="36"/>
        </w:rPr>
        <w:t>Physical Reservoir Computing</w:t>
      </w:r>
    </w:p>
    <w:p w14:paraId="05C2717C" w14:textId="77777777" w:rsidR="00F77F81" w:rsidRPr="00A74364" w:rsidRDefault="00F77F81" w:rsidP="00F77F81">
      <w:pPr>
        <w:jc w:val="center"/>
        <w:rPr>
          <w:rFonts w:ascii="Times New Roman" w:hAnsi="Times New Roman" w:cs="Times New Roman"/>
          <w:sz w:val="20"/>
          <w:szCs w:val="22"/>
        </w:rPr>
      </w:pPr>
    </w:p>
    <w:p w14:paraId="7563085C" w14:textId="77777777" w:rsidR="00A833E5" w:rsidRDefault="001054F1" w:rsidP="00F51BFB">
      <w:pPr>
        <w:jc w:val="center"/>
        <w:rPr>
          <w:rFonts w:ascii="Times New Roman" w:hAnsi="Times New Roman" w:cs="Times New Roman"/>
          <w:sz w:val="22"/>
        </w:rPr>
      </w:pPr>
      <w:r w:rsidRPr="00A833E5">
        <w:rPr>
          <w:rFonts w:ascii="Times New Roman" w:hAnsi="Times New Roman" w:cs="Times New Roman"/>
          <w:sz w:val="22"/>
        </w:rPr>
        <w:t>Eweli</w:t>
      </w:r>
      <w:r w:rsidR="00DC3EFE" w:rsidRPr="00A833E5">
        <w:rPr>
          <w:rFonts w:ascii="Times New Roman" w:hAnsi="Times New Roman" w:cs="Times New Roman"/>
          <w:sz w:val="22"/>
        </w:rPr>
        <w:t>na Cechosz,</w:t>
      </w:r>
      <w:r w:rsidR="00DC3EFE" w:rsidRPr="00A833E5">
        <w:rPr>
          <w:rFonts w:ascii="Times New Roman" w:hAnsi="Times New Roman" w:cs="Times New Roman"/>
          <w:sz w:val="22"/>
          <w:vertAlign w:val="superscript"/>
        </w:rPr>
        <w:t>1</w:t>
      </w:r>
      <w:r w:rsidR="00DC3EFE" w:rsidRPr="00A833E5">
        <w:rPr>
          <w:rFonts w:ascii="Times New Roman" w:hAnsi="Times New Roman" w:cs="Times New Roman"/>
          <w:sz w:val="22"/>
        </w:rPr>
        <w:t xml:space="preserve"> </w:t>
      </w:r>
      <w:r w:rsidR="00F51BFB" w:rsidRPr="00A833E5">
        <w:rPr>
          <w:rFonts w:ascii="Times New Roman" w:hAnsi="Times New Roman" w:cs="Times New Roman"/>
          <w:sz w:val="22"/>
        </w:rPr>
        <w:t>Gisya Abdi,</w:t>
      </w:r>
      <w:r w:rsidR="00F51BFB" w:rsidRPr="00A833E5">
        <w:rPr>
          <w:rFonts w:ascii="Times New Roman" w:hAnsi="Times New Roman" w:cs="Times New Roman"/>
          <w:sz w:val="22"/>
          <w:vertAlign w:val="superscript"/>
        </w:rPr>
        <w:t>1</w:t>
      </w:r>
      <w:r w:rsidR="00F51BFB" w:rsidRPr="00A833E5">
        <w:rPr>
          <w:rFonts w:ascii="Times New Roman" w:hAnsi="Times New Roman" w:cs="Times New Roman"/>
          <w:sz w:val="22"/>
        </w:rPr>
        <w:t xml:space="preserve"> </w:t>
      </w:r>
      <w:r w:rsidR="00DC3EFE" w:rsidRPr="00A833E5">
        <w:rPr>
          <w:rFonts w:ascii="Times New Roman" w:hAnsi="Times New Roman" w:cs="Times New Roman"/>
          <w:sz w:val="22"/>
        </w:rPr>
        <w:t>Marlena Gryl,</w:t>
      </w:r>
      <w:r w:rsidR="00DC3EFE" w:rsidRPr="00A833E5">
        <w:rPr>
          <w:rFonts w:ascii="Times New Roman" w:hAnsi="Times New Roman" w:cs="Times New Roman"/>
          <w:sz w:val="22"/>
          <w:vertAlign w:val="superscript"/>
        </w:rPr>
        <w:t>2</w:t>
      </w:r>
      <w:r w:rsidR="00DC3EFE" w:rsidRPr="00A833E5">
        <w:rPr>
          <w:rFonts w:ascii="Times New Roman" w:hAnsi="Times New Roman" w:cs="Times New Roman"/>
          <w:sz w:val="22"/>
        </w:rPr>
        <w:t xml:space="preserve"> </w:t>
      </w:r>
      <w:r w:rsidR="00F51BFB" w:rsidRPr="00A833E5">
        <w:rPr>
          <w:rFonts w:ascii="Times New Roman" w:hAnsi="Times New Roman" w:cs="Times New Roman"/>
          <w:sz w:val="22"/>
        </w:rPr>
        <w:t>Ahmet Karacali,</w:t>
      </w:r>
      <w:r w:rsidR="00DC3EFE" w:rsidRPr="00A833E5">
        <w:rPr>
          <w:rFonts w:ascii="Times New Roman" w:hAnsi="Times New Roman" w:cs="Times New Roman"/>
          <w:sz w:val="22"/>
          <w:vertAlign w:val="superscript"/>
        </w:rPr>
        <w:t>3</w:t>
      </w:r>
      <w:r w:rsidR="00F51BFB" w:rsidRPr="00A833E5">
        <w:rPr>
          <w:rFonts w:ascii="Times New Roman" w:hAnsi="Times New Roman" w:cs="Times New Roman"/>
          <w:sz w:val="22"/>
        </w:rPr>
        <w:t xml:space="preserve"> Alif Syafiq Kamarol Zaman,</w:t>
      </w:r>
      <w:r w:rsidR="00DC3EFE" w:rsidRPr="00A833E5">
        <w:rPr>
          <w:rFonts w:ascii="Times New Roman" w:hAnsi="Times New Roman" w:cs="Times New Roman"/>
          <w:sz w:val="22"/>
          <w:vertAlign w:val="superscript"/>
        </w:rPr>
        <w:t>3</w:t>
      </w:r>
      <w:r w:rsidR="00F51BFB" w:rsidRPr="00A833E5">
        <w:rPr>
          <w:rFonts w:ascii="Times New Roman" w:hAnsi="Times New Roman" w:cs="Times New Roman"/>
          <w:sz w:val="22"/>
        </w:rPr>
        <w:t xml:space="preserve"> </w:t>
      </w:r>
    </w:p>
    <w:p w14:paraId="07D716CB" w14:textId="3FF6AD4C" w:rsidR="00F77F81" w:rsidRPr="00A833E5" w:rsidRDefault="00F51BFB" w:rsidP="00F51BFB">
      <w:pPr>
        <w:jc w:val="center"/>
        <w:rPr>
          <w:rFonts w:ascii="Times New Roman" w:hAnsi="Times New Roman" w:cs="Times New Roman"/>
          <w:sz w:val="22"/>
          <w:vertAlign w:val="superscript"/>
        </w:rPr>
      </w:pPr>
      <w:bookmarkStart w:id="0" w:name="_GoBack"/>
      <w:bookmarkEnd w:id="0"/>
      <w:r w:rsidRPr="00A833E5">
        <w:rPr>
          <w:rFonts w:ascii="Times New Roman" w:hAnsi="Times New Roman" w:cs="Times New Roman"/>
          <w:sz w:val="22"/>
        </w:rPr>
        <w:t>Andrzej Sławek,</w:t>
      </w:r>
      <w:r w:rsidR="00DC3EFE" w:rsidRPr="00A833E5">
        <w:rPr>
          <w:rFonts w:ascii="Times New Roman" w:hAnsi="Times New Roman" w:cs="Times New Roman"/>
          <w:sz w:val="22"/>
          <w:vertAlign w:val="superscript"/>
        </w:rPr>
        <w:t xml:space="preserve">1 </w:t>
      </w:r>
      <w:r w:rsidRPr="00A833E5">
        <w:rPr>
          <w:rFonts w:ascii="Times New Roman" w:hAnsi="Times New Roman" w:cs="Times New Roman"/>
          <w:sz w:val="22"/>
        </w:rPr>
        <w:t>Hirofumi Tanaka,</w:t>
      </w:r>
      <w:r w:rsidR="00DC3EFE" w:rsidRPr="00A833E5">
        <w:rPr>
          <w:rFonts w:ascii="Times New Roman" w:hAnsi="Times New Roman" w:cs="Times New Roman"/>
          <w:sz w:val="22"/>
          <w:vertAlign w:val="superscript"/>
        </w:rPr>
        <w:t>3</w:t>
      </w:r>
      <w:r w:rsidRPr="00A833E5">
        <w:rPr>
          <w:rFonts w:ascii="Times New Roman" w:hAnsi="Times New Roman" w:cs="Times New Roman"/>
          <w:sz w:val="22"/>
        </w:rPr>
        <w:t xml:space="preserve"> Konrad Szaciłowski</w:t>
      </w:r>
      <w:r w:rsidRPr="00A833E5">
        <w:rPr>
          <w:rFonts w:ascii="Times New Roman" w:hAnsi="Times New Roman" w:cs="Times New Roman"/>
          <w:sz w:val="22"/>
          <w:vertAlign w:val="superscript"/>
        </w:rPr>
        <w:t>1</w:t>
      </w:r>
      <w:r w:rsidR="00DC3EFE" w:rsidRPr="00A833E5">
        <w:rPr>
          <w:rFonts w:ascii="Times New Roman" w:hAnsi="Times New Roman" w:cs="Times New Roman"/>
          <w:sz w:val="22"/>
          <w:vertAlign w:val="superscript"/>
        </w:rPr>
        <w:t>,4</w:t>
      </w:r>
    </w:p>
    <w:p w14:paraId="23D9FDCE" w14:textId="77777777" w:rsidR="00F51BFB" w:rsidRPr="00A833E5" w:rsidRDefault="00F51BFB" w:rsidP="00DC3EFE">
      <w:pPr>
        <w:jc w:val="center"/>
        <w:rPr>
          <w:rFonts w:ascii="Times New Roman" w:hAnsi="Times New Roman" w:cs="Times New Roman"/>
          <w:sz w:val="22"/>
        </w:rPr>
      </w:pPr>
    </w:p>
    <w:p w14:paraId="25F34C0B" w14:textId="77777777" w:rsidR="00DC3EFE" w:rsidRPr="00A833E5" w:rsidRDefault="00DC3EFE" w:rsidP="00A833E5">
      <w:pPr>
        <w:spacing w:line="240" w:lineRule="exact"/>
        <w:jc w:val="center"/>
        <w:rPr>
          <w:rFonts w:ascii="Times New Roman" w:hAnsi="Times New Roman" w:cs="Times New Roman"/>
          <w:sz w:val="22"/>
        </w:rPr>
      </w:pPr>
      <w:r w:rsidRPr="00A833E5">
        <w:rPr>
          <w:rFonts w:ascii="Times New Roman" w:hAnsi="Times New Roman" w:cs="Times New Roman"/>
          <w:sz w:val="22"/>
          <w:vertAlign w:val="superscript"/>
        </w:rPr>
        <w:t>1</w:t>
      </w:r>
      <w:r w:rsidRPr="00A833E5">
        <w:rPr>
          <w:rFonts w:ascii="Times New Roman" w:hAnsi="Times New Roman" w:cs="Times New Roman"/>
          <w:sz w:val="22"/>
        </w:rPr>
        <w:t xml:space="preserve"> Academic Centre for Materials and Nanotechnology, AGH University of Krakow, Poland</w:t>
      </w:r>
    </w:p>
    <w:p w14:paraId="01B9098F" w14:textId="77777777" w:rsidR="00DC3EFE" w:rsidRPr="00A833E5" w:rsidRDefault="00DC3EFE" w:rsidP="00A833E5">
      <w:pPr>
        <w:spacing w:line="240" w:lineRule="exact"/>
        <w:jc w:val="center"/>
        <w:rPr>
          <w:rFonts w:ascii="Times New Roman" w:hAnsi="Times New Roman" w:cs="Times New Roman"/>
          <w:sz w:val="22"/>
        </w:rPr>
      </w:pPr>
      <w:r w:rsidRPr="00A833E5">
        <w:rPr>
          <w:rFonts w:ascii="Times New Roman" w:hAnsi="Times New Roman" w:cs="Times New Roman"/>
          <w:sz w:val="22"/>
          <w:vertAlign w:val="superscript"/>
        </w:rPr>
        <w:t>2</w:t>
      </w:r>
      <w:r w:rsidRPr="00A833E5">
        <w:rPr>
          <w:rFonts w:ascii="Times New Roman" w:hAnsi="Times New Roman" w:cs="Times New Roman"/>
          <w:sz w:val="22"/>
        </w:rPr>
        <w:t xml:space="preserve"> Faculty of Chemistry, Jagiellonian University, Krakow, Poland</w:t>
      </w:r>
    </w:p>
    <w:p w14:paraId="32B051F8" w14:textId="77777777" w:rsidR="00DC3EFE" w:rsidRPr="00A833E5" w:rsidRDefault="00DC3EFE" w:rsidP="00A833E5">
      <w:pPr>
        <w:spacing w:line="240" w:lineRule="exact"/>
        <w:jc w:val="center"/>
        <w:rPr>
          <w:rFonts w:ascii="Times New Roman" w:hAnsi="Times New Roman" w:cs="Times New Roman"/>
          <w:sz w:val="22"/>
        </w:rPr>
      </w:pPr>
      <w:r w:rsidRPr="00A833E5">
        <w:rPr>
          <w:rFonts w:ascii="Times New Roman" w:hAnsi="Times New Roman" w:cs="Times New Roman"/>
          <w:sz w:val="22"/>
          <w:vertAlign w:val="superscript"/>
        </w:rPr>
        <w:t>3</w:t>
      </w:r>
      <w:r w:rsidRPr="00A833E5">
        <w:rPr>
          <w:rFonts w:ascii="Times New Roman" w:hAnsi="Times New Roman" w:cs="Times New Roman"/>
          <w:sz w:val="22"/>
        </w:rPr>
        <w:t xml:space="preserve"> Research Center for Neuromorphic AI Hardware, Kyushu Institute of Technology, Kitakyushu, Japan</w:t>
      </w:r>
    </w:p>
    <w:p w14:paraId="31457894" w14:textId="77777777" w:rsidR="00DC3EFE" w:rsidRPr="00A833E5" w:rsidRDefault="00DC3EFE" w:rsidP="00A833E5">
      <w:pPr>
        <w:spacing w:line="240" w:lineRule="exact"/>
        <w:jc w:val="center"/>
        <w:rPr>
          <w:rFonts w:ascii="Times New Roman" w:hAnsi="Times New Roman" w:cs="Times New Roman"/>
          <w:sz w:val="22"/>
        </w:rPr>
      </w:pPr>
      <w:r w:rsidRPr="00A833E5">
        <w:rPr>
          <w:rFonts w:ascii="Times New Roman" w:hAnsi="Times New Roman" w:cs="Times New Roman"/>
          <w:sz w:val="22"/>
          <w:vertAlign w:val="superscript"/>
        </w:rPr>
        <w:t>4</w:t>
      </w:r>
      <w:r w:rsidRPr="00A833E5">
        <w:rPr>
          <w:rFonts w:ascii="Times New Roman" w:hAnsi="Times New Roman" w:cs="Times New Roman"/>
          <w:sz w:val="22"/>
        </w:rPr>
        <w:t xml:space="preserve"> Unconventional Computing Laboratory, University of the West of England, Bristol, UK</w:t>
      </w:r>
    </w:p>
    <w:p w14:paraId="165FD405" w14:textId="77777777" w:rsidR="00F51BFB" w:rsidRPr="00A833E5" w:rsidRDefault="00F51BFB" w:rsidP="00A74364">
      <w:pPr>
        <w:spacing w:line="240" w:lineRule="exact"/>
        <w:ind w:firstLineChars="100" w:firstLine="240"/>
        <w:jc w:val="left"/>
        <w:rPr>
          <w:rFonts w:ascii="Times New Roman" w:hAnsi="Times New Roman" w:cs="Times New Roman"/>
          <w:sz w:val="24"/>
        </w:rPr>
      </w:pPr>
    </w:p>
    <w:p w14:paraId="4B694227" w14:textId="4984567F" w:rsidR="00817ED8" w:rsidRPr="00A833E5" w:rsidRDefault="00F51BFB" w:rsidP="00F51BFB">
      <w:pPr>
        <w:spacing w:line="240" w:lineRule="exact"/>
        <w:ind w:firstLineChars="100" w:firstLine="220"/>
        <w:rPr>
          <w:rFonts w:ascii="Times New Roman" w:hAnsi="Times New Roman" w:cs="Times New Roman"/>
          <w:sz w:val="22"/>
        </w:rPr>
      </w:pPr>
      <w:r w:rsidRPr="00A833E5">
        <w:rPr>
          <w:rFonts w:ascii="Times New Roman" w:hAnsi="Times New Roman" w:cs="Times New Roman"/>
          <w:sz w:val="22"/>
        </w:rPr>
        <w:t xml:space="preserve">This study comprises </w:t>
      </w:r>
      <w:r w:rsidR="00DC3EFE" w:rsidRPr="00A833E5">
        <w:rPr>
          <w:rFonts w:ascii="Times New Roman" w:hAnsi="Times New Roman" w:cs="Times New Roman"/>
          <w:sz w:val="22"/>
        </w:rPr>
        <w:t>three parts: (i)</w:t>
      </w:r>
      <w:r w:rsidRPr="00A833E5">
        <w:rPr>
          <w:rFonts w:ascii="Times New Roman" w:hAnsi="Times New Roman" w:cs="Times New Roman"/>
          <w:sz w:val="22"/>
        </w:rPr>
        <w:t xml:space="preserve"> an investigation into the impact of anionic composition on the crystal structure and semiconducting properties of a series </w:t>
      </w:r>
      <w:r w:rsidR="00DC3EFE" w:rsidRPr="00A833E5">
        <w:rPr>
          <w:rFonts w:ascii="Times New Roman" w:hAnsi="Times New Roman" w:cs="Times New Roman"/>
          <w:sz w:val="22"/>
        </w:rPr>
        <w:t xml:space="preserve">iodobismythate complexes followed by (ii) </w:t>
      </w:r>
      <w:r w:rsidRPr="00A833E5">
        <w:rPr>
          <w:rFonts w:ascii="Times New Roman" w:hAnsi="Times New Roman" w:cs="Times New Roman"/>
          <w:sz w:val="22"/>
        </w:rPr>
        <w:t xml:space="preserve">an assessment of their memristive and plasticity properties in thin layer devices as well as </w:t>
      </w:r>
      <w:r w:rsidR="00DC3EFE" w:rsidRPr="00A833E5">
        <w:rPr>
          <w:rFonts w:ascii="Times New Roman" w:hAnsi="Times New Roman" w:cs="Times New Roman"/>
          <w:sz w:val="22"/>
        </w:rPr>
        <w:t xml:space="preserve">(iii) </w:t>
      </w:r>
      <w:r w:rsidRPr="00A833E5">
        <w:rPr>
          <w:rFonts w:ascii="Times New Roman" w:hAnsi="Times New Roman" w:cs="Times New Roman"/>
          <w:sz w:val="22"/>
        </w:rPr>
        <w:t>their possible applications in physical reservoir computing. The presence of different halides induces structural alterations results in the crystals and result in the formation of low dimensional anionic halobismuthate fragments, as confirmed by crystallographic analysis. Diffusion reflectance spectroscopy was used to conduct an experimental investigation into the nature of the optical band gap of these materials, and the results were in good agreement with values base</w:t>
      </w:r>
      <w:r w:rsidR="001054F1" w:rsidRPr="00A833E5">
        <w:rPr>
          <w:rFonts w:ascii="Times New Roman" w:hAnsi="Times New Roman" w:cs="Times New Roman"/>
          <w:sz w:val="22"/>
        </w:rPr>
        <w:t xml:space="preserve">d on density functional theory </w:t>
      </w:r>
      <w:r w:rsidRPr="00A833E5">
        <w:rPr>
          <w:rFonts w:ascii="Times New Roman" w:hAnsi="Times New Roman" w:cs="Times New Roman"/>
          <w:sz w:val="22"/>
        </w:rPr>
        <w:t xml:space="preserve">calculations. Due to solubility reasons only bismuth iodide complexes were examined in electronic applications. The current-voltage scans of the devices reveal characteristic pinched hysteresis loops, a distinct signature of memristors. Conductivity versus temperature study indicates combined ionic and electronic contributions to conductivity of the devices. Given that a memristor can function as a single synapse without the need for programming, aligning with the requirements of neuromorphic computing, the study investigated long-term depression, potentiation, and spike-time-dependent plasticity. As the LTP-LTD plots showed non-linearity with fading memory, these materials can be a good candidate for application in physical reservoir computing. To further assess this materials, </w:t>
      </w:r>
      <w:r w:rsidR="00DC3EFE" w:rsidRPr="00A833E5">
        <w:rPr>
          <w:rFonts w:ascii="Times New Roman" w:hAnsi="Times New Roman" w:cs="Times New Roman"/>
          <w:sz w:val="22"/>
        </w:rPr>
        <w:t xml:space="preserve">two different apaches towards reservoir computing has been implemented: </w:t>
      </w:r>
      <w:r w:rsidRPr="00A833E5">
        <w:rPr>
          <w:rFonts w:ascii="Times New Roman" w:hAnsi="Times New Roman" w:cs="Times New Roman"/>
          <w:sz w:val="22"/>
        </w:rPr>
        <w:t xml:space="preserve">an electronic devices with sixteen gold electrodes, featuring one input and 15 output </w:t>
      </w:r>
      <w:r w:rsidR="00DC3EFE" w:rsidRPr="00A833E5">
        <w:rPr>
          <w:rFonts w:ascii="Times New Roman" w:hAnsi="Times New Roman" w:cs="Times New Roman"/>
          <w:sz w:val="22"/>
        </w:rPr>
        <w:t xml:space="preserve">ports integrated </w:t>
      </w:r>
      <w:r w:rsidRPr="00A833E5">
        <w:rPr>
          <w:rFonts w:ascii="Times New Roman" w:hAnsi="Times New Roman" w:cs="Times New Roman"/>
          <w:sz w:val="22"/>
        </w:rPr>
        <w:t>on silicon substrate</w:t>
      </w:r>
      <w:r w:rsidR="00DC3EFE" w:rsidRPr="00A833E5">
        <w:rPr>
          <w:rFonts w:ascii="Times New Roman" w:hAnsi="Times New Roman" w:cs="Times New Roman"/>
          <w:sz w:val="22"/>
        </w:rPr>
        <w:t xml:space="preserve"> and one input-open output circuit equipped with a delayed feedback. Both approaches has been found </w:t>
      </w:r>
      <w:r w:rsidR="001054F1" w:rsidRPr="00A833E5">
        <w:rPr>
          <w:rFonts w:ascii="Times New Roman" w:hAnsi="Times New Roman" w:cs="Times New Roman"/>
          <w:sz w:val="22"/>
        </w:rPr>
        <w:t xml:space="preserve">to be useful for complex computational tasks in pattern recognition and signal classification: recognition of hand-written digits and detection of vocalizations of </w:t>
      </w:r>
      <w:r w:rsidR="001054F1" w:rsidRPr="00A833E5">
        <w:rPr>
          <w:rFonts w:ascii="Times New Roman" w:hAnsi="Times New Roman" w:cs="Times New Roman"/>
          <w:i/>
          <w:sz w:val="22"/>
        </w:rPr>
        <w:t>Trichosurus Vulpecula</w:t>
      </w:r>
      <w:r w:rsidR="001054F1" w:rsidRPr="00A833E5">
        <w:rPr>
          <w:rFonts w:ascii="Times New Roman" w:hAnsi="Times New Roman" w:cs="Times New Roman"/>
          <w:sz w:val="22"/>
        </w:rPr>
        <w:t>.</w:t>
      </w:r>
    </w:p>
    <w:p w14:paraId="7E2B42D7" w14:textId="3ECF721C" w:rsidR="00F51BFB" w:rsidRPr="00A833E5" w:rsidRDefault="001054F1" w:rsidP="00F51BFB">
      <w:pPr>
        <w:jc w:val="center"/>
        <w:rPr>
          <w:rFonts w:ascii="Times New Roman" w:hAnsi="Times New Roman" w:cs="Times New Roman"/>
          <w:sz w:val="22"/>
        </w:rPr>
      </w:pPr>
      <w:r w:rsidRPr="00A833E5">
        <w:rPr>
          <w:rFonts w:eastAsia="Times New Roman"/>
          <w:noProof/>
          <w:sz w:val="22"/>
          <w:lang w:val="pl-PL" w:eastAsia="pl-PL"/>
        </w:rPr>
        <w:drawing>
          <wp:inline distT="0" distB="0" distL="0" distR="0" wp14:anchorId="1DFDA799" wp14:editId="62EDD12B">
            <wp:extent cx="1662817" cy="1197449"/>
            <wp:effectExtent l="0" t="0" r="0" b="3175"/>
            <wp:docPr id="1" name="Obraz 1" descr="173351365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33513654002"/>
                    <pic:cNvPicPr>
                      <a:picLocks noChangeAspect="1" noChangeArrowheads="1"/>
                    </pic:cNvPicPr>
                  </pic:nvPicPr>
                  <pic:blipFill>
                    <a:blip r:embed="rId8" cstate="print">
                      <a:extLst>
                        <a:ext uri="{28A0092B-C50C-407E-A947-70E740481C1C}">
                          <a14:useLocalDpi xmlns:a14="http://schemas.microsoft.com/office/drawing/2010/main" val="0"/>
                        </a:ext>
                      </a:extLst>
                    </a:blip>
                    <a:srcRect l="16438" r="21461"/>
                    <a:stretch>
                      <a:fillRect/>
                    </a:stretch>
                  </pic:blipFill>
                  <pic:spPr bwMode="auto">
                    <a:xfrm>
                      <a:off x="0" y="0"/>
                      <a:ext cx="1667282" cy="1200664"/>
                    </a:xfrm>
                    <a:prstGeom prst="rect">
                      <a:avLst/>
                    </a:prstGeom>
                    <a:noFill/>
                    <a:ln>
                      <a:noFill/>
                    </a:ln>
                  </pic:spPr>
                </pic:pic>
              </a:graphicData>
            </a:graphic>
          </wp:inline>
        </w:drawing>
      </w:r>
      <w:r w:rsidRPr="00A833E5">
        <w:rPr>
          <w:noProof/>
          <w:sz w:val="22"/>
          <w:lang w:val="pl-PL" w:eastAsia="pl-PL"/>
        </w:rPr>
        <w:drawing>
          <wp:inline distT="0" distB="0" distL="0" distR="0" wp14:anchorId="375967A0" wp14:editId="0B32180A">
            <wp:extent cx="1701256" cy="1206904"/>
            <wp:effectExtent l="0" t="0" r="0" b="0"/>
            <wp:docPr id="2" name="Obraz 2" descr="Trichosurus vulpecula 2 Gould - Public domain zoological illustration -  PICRYL - Public Domain Media Search Engine Public Doma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chosurus vulpecula 2 Gould - Public domain zoological illustration -  PICRYL - Public Domain Media Search Engine Public Domain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706" cy="1241276"/>
                    </a:xfrm>
                    <a:prstGeom prst="rect">
                      <a:avLst/>
                    </a:prstGeom>
                    <a:noFill/>
                    <a:ln>
                      <a:noFill/>
                    </a:ln>
                  </pic:spPr>
                </pic:pic>
              </a:graphicData>
            </a:graphic>
          </wp:inline>
        </w:drawing>
      </w:r>
    </w:p>
    <w:p w14:paraId="5CB024BF" w14:textId="27B617E7" w:rsidR="00F51BFB" w:rsidRPr="00A833E5" w:rsidRDefault="00F51BFB" w:rsidP="001054F1">
      <w:pPr>
        <w:spacing w:line="240" w:lineRule="exact"/>
        <w:rPr>
          <w:rFonts w:ascii="Times New Roman" w:hAnsi="Times New Roman" w:cs="Times New Roman"/>
          <w:sz w:val="22"/>
        </w:rPr>
      </w:pPr>
      <w:r w:rsidRPr="00A833E5">
        <w:rPr>
          <w:rFonts w:ascii="Times New Roman" w:hAnsi="Times New Roman" w:cs="Times New Roman"/>
          <w:sz w:val="22"/>
        </w:rPr>
        <w:t xml:space="preserve">Figure 1. </w:t>
      </w:r>
      <w:r w:rsidR="001054F1" w:rsidRPr="00A833E5">
        <w:rPr>
          <w:rFonts w:ascii="Times New Roman" w:hAnsi="Times New Roman" w:cs="Times New Roman"/>
          <w:sz w:val="22"/>
        </w:rPr>
        <w:t xml:space="preserve">Real photo of a reservoir computing chip based on 7-methyulquinolinium iodobismuthate (left) and an image depicting </w:t>
      </w:r>
      <w:r w:rsidR="001054F1" w:rsidRPr="00A833E5">
        <w:rPr>
          <w:rFonts w:ascii="Times New Roman" w:hAnsi="Times New Roman" w:cs="Times New Roman"/>
          <w:i/>
          <w:sz w:val="22"/>
        </w:rPr>
        <w:t>Trichosurus Vulpecula</w:t>
      </w:r>
      <w:r w:rsidR="001054F1" w:rsidRPr="00A833E5">
        <w:rPr>
          <w:rFonts w:ascii="Times New Roman" w:hAnsi="Times New Roman" w:cs="Times New Roman"/>
          <w:sz w:val="22"/>
        </w:rPr>
        <w:t xml:space="preserve"> (right).</w:t>
      </w:r>
    </w:p>
    <w:p w14:paraId="7D42E611" w14:textId="77777777" w:rsidR="008741A4" w:rsidRPr="00A833E5" w:rsidRDefault="008741A4" w:rsidP="00A74364">
      <w:pPr>
        <w:spacing w:line="240" w:lineRule="exact"/>
        <w:ind w:firstLineChars="100" w:firstLine="220"/>
        <w:jc w:val="left"/>
        <w:rPr>
          <w:rFonts w:ascii="Times New Roman" w:hAnsi="Times New Roman" w:cs="Times New Roman"/>
          <w:sz w:val="22"/>
        </w:rPr>
      </w:pPr>
    </w:p>
    <w:p w14:paraId="1ECD065C" w14:textId="5B0AE1F1" w:rsidR="00817ED8" w:rsidRPr="00A833E5" w:rsidRDefault="00817ED8" w:rsidP="00817ED8">
      <w:pPr>
        <w:jc w:val="left"/>
        <w:rPr>
          <w:rFonts w:ascii="Times New Roman" w:hAnsi="Times New Roman" w:cs="Times New Roman"/>
          <w:b/>
          <w:bCs/>
          <w:sz w:val="22"/>
        </w:rPr>
      </w:pPr>
      <w:r w:rsidRPr="00A833E5">
        <w:rPr>
          <w:rFonts w:ascii="Times New Roman" w:hAnsi="Times New Roman" w:cs="Times New Roman" w:hint="eastAsia"/>
          <w:b/>
          <w:bCs/>
          <w:sz w:val="22"/>
        </w:rPr>
        <w:t>A</w:t>
      </w:r>
      <w:r w:rsidRPr="00A833E5">
        <w:rPr>
          <w:rFonts w:ascii="Times New Roman" w:hAnsi="Times New Roman" w:cs="Times New Roman"/>
          <w:b/>
          <w:bCs/>
          <w:sz w:val="22"/>
        </w:rPr>
        <w:t>cknowledgment</w:t>
      </w:r>
    </w:p>
    <w:p w14:paraId="6F3E8DBF" w14:textId="33815273" w:rsidR="00DB33E2" w:rsidRPr="00A833E5" w:rsidRDefault="00F51BFB" w:rsidP="00F51BFB">
      <w:pPr>
        <w:widowControl/>
        <w:spacing w:line="240" w:lineRule="exact"/>
        <w:rPr>
          <w:rFonts w:ascii="Times New Roman" w:hAnsi="Times New Roman" w:cs="Times New Roman"/>
          <w:sz w:val="22"/>
        </w:rPr>
      </w:pPr>
      <w:r w:rsidRPr="00A833E5">
        <w:rPr>
          <w:rFonts w:ascii="Times New Roman" w:eastAsia="Calibri" w:hAnsi="Times New Roman" w:cs="Times New Roman"/>
          <w:sz w:val="22"/>
          <w:lang w:eastAsia="en-US"/>
          <w14:ligatures w14:val="standardContextual"/>
        </w:rPr>
        <w:t>The authors acknowledge the financial support from the Polish National Science Centre within the OPUS programme (grant agreement no. UMO-2020/37/B/ST5/00663) and AGH University of Science and Technology within the program “Excellence Initiative-Research University”.</w:t>
      </w:r>
    </w:p>
    <w:sectPr w:rsidR="00DB33E2" w:rsidRPr="00A833E5" w:rsidSect="001054F1">
      <w:type w:val="continuous"/>
      <w:pgSz w:w="11906" w:h="16838"/>
      <w:pgMar w:top="1417" w:right="1417" w:bottom="1417" w:left="141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1205" w14:textId="77777777" w:rsidR="00831FCD" w:rsidRDefault="00831FCD" w:rsidP="00B669F3">
      <w:r>
        <w:separator/>
      </w:r>
    </w:p>
  </w:endnote>
  <w:endnote w:type="continuationSeparator" w:id="0">
    <w:p w14:paraId="1E12150F" w14:textId="77777777" w:rsidR="00831FCD" w:rsidRDefault="00831FCD" w:rsidP="00B6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E17B" w14:textId="77777777" w:rsidR="00831FCD" w:rsidRDefault="00831FCD" w:rsidP="00B669F3">
      <w:r>
        <w:separator/>
      </w:r>
    </w:p>
  </w:footnote>
  <w:footnote w:type="continuationSeparator" w:id="0">
    <w:p w14:paraId="78CF8373" w14:textId="77777777" w:rsidR="00831FCD" w:rsidRDefault="00831FCD" w:rsidP="00B669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45E0"/>
    <w:multiLevelType w:val="hybridMultilevel"/>
    <w:tmpl w:val="C28AD984"/>
    <w:lvl w:ilvl="0" w:tplc="22B4A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autoHyphenation/>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F3"/>
    <w:rsid w:val="00063053"/>
    <w:rsid w:val="001054F1"/>
    <w:rsid w:val="001C0181"/>
    <w:rsid w:val="001F1AFC"/>
    <w:rsid w:val="001F3478"/>
    <w:rsid w:val="00200200"/>
    <w:rsid w:val="00254FA0"/>
    <w:rsid w:val="002F7FDC"/>
    <w:rsid w:val="003718A2"/>
    <w:rsid w:val="005540ED"/>
    <w:rsid w:val="00554638"/>
    <w:rsid w:val="00577DA0"/>
    <w:rsid w:val="00584423"/>
    <w:rsid w:val="006906A5"/>
    <w:rsid w:val="00781E59"/>
    <w:rsid w:val="007B1871"/>
    <w:rsid w:val="007B5ABB"/>
    <w:rsid w:val="007D066A"/>
    <w:rsid w:val="008065F1"/>
    <w:rsid w:val="00817ED8"/>
    <w:rsid w:val="00831FCD"/>
    <w:rsid w:val="0084421C"/>
    <w:rsid w:val="008741A4"/>
    <w:rsid w:val="00880C33"/>
    <w:rsid w:val="00A34840"/>
    <w:rsid w:val="00A65881"/>
    <w:rsid w:val="00A74364"/>
    <w:rsid w:val="00A80605"/>
    <w:rsid w:val="00A833E5"/>
    <w:rsid w:val="00AB4865"/>
    <w:rsid w:val="00B62F6F"/>
    <w:rsid w:val="00B669F3"/>
    <w:rsid w:val="00BD3593"/>
    <w:rsid w:val="00BD7D5D"/>
    <w:rsid w:val="00BF11EB"/>
    <w:rsid w:val="00C03D1A"/>
    <w:rsid w:val="00C337E5"/>
    <w:rsid w:val="00C545E9"/>
    <w:rsid w:val="00DB33E2"/>
    <w:rsid w:val="00DC3EFE"/>
    <w:rsid w:val="00DD233F"/>
    <w:rsid w:val="00E16098"/>
    <w:rsid w:val="00E167C5"/>
    <w:rsid w:val="00E90A11"/>
    <w:rsid w:val="00EB6BE9"/>
    <w:rsid w:val="00EE62D9"/>
    <w:rsid w:val="00EF2311"/>
    <w:rsid w:val="00F1744B"/>
    <w:rsid w:val="00F51BFB"/>
    <w:rsid w:val="00F77F81"/>
    <w:rsid w:val="00FE150D"/>
    <w:rsid w:val="00FE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8D61A"/>
  <w15:chartTrackingRefBased/>
  <w15:docId w15:val="{9ED648F1-6570-374B-B638-FB41DA5D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4F1"/>
    <w:pPr>
      <w:widowControl w:val="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9F3"/>
    <w:pPr>
      <w:tabs>
        <w:tab w:val="center" w:pos="4252"/>
        <w:tab w:val="right" w:pos="8504"/>
      </w:tabs>
      <w:snapToGrid w:val="0"/>
    </w:pPr>
  </w:style>
  <w:style w:type="character" w:customStyle="1" w:styleId="NagwekZnak">
    <w:name w:val="Nagłówek Znak"/>
    <w:basedOn w:val="Domylnaczcionkaakapitu"/>
    <w:link w:val="Nagwek"/>
    <w:uiPriority w:val="99"/>
    <w:rsid w:val="00B669F3"/>
  </w:style>
  <w:style w:type="paragraph" w:styleId="Stopka">
    <w:name w:val="footer"/>
    <w:basedOn w:val="Normalny"/>
    <w:link w:val="StopkaZnak"/>
    <w:uiPriority w:val="99"/>
    <w:unhideWhenUsed/>
    <w:rsid w:val="00B669F3"/>
    <w:pPr>
      <w:tabs>
        <w:tab w:val="center" w:pos="4252"/>
        <w:tab w:val="right" w:pos="8504"/>
      </w:tabs>
      <w:snapToGrid w:val="0"/>
    </w:pPr>
  </w:style>
  <w:style w:type="character" w:customStyle="1" w:styleId="StopkaZnak">
    <w:name w:val="Stopka Znak"/>
    <w:basedOn w:val="Domylnaczcionkaakapitu"/>
    <w:link w:val="Stopka"/>
    <w:uiPriority w:val="99"/>
    <w:rsid w:val="00B669F3"/>
  </w:style>
  <w:style w:type="paragraph" w:styleId="Akapitzlist">
    <w:name w:val="List Paragraph"/>
    <w:basedOn w:val="Normalny"/>
    <w:uiPriority w:val="34"/>
    <w:qFormat/>
    <w:rsid w:val="00E167C5"/>
    <w:pPr>
      <w:ind w:leftChars="400" w:left="840"/>
    </w:pPr>
  </w:style>
  <w:style w:type="paragraph" w:styleId="Legenda">
    <w:name w:val="caption"/>
    <w:basedOn w:val="Normalny"/>
    <w:next w:val="Normalny"/>
    <w:uiPriority w:val="35"/>
    <w:unhideWhenUsed/>
    <w:qFormat/>
    <w:rsid w:val="00DB33E2"/>
    <w:rPr>
      <w:b/>
      <w:bCs/>
      <w:szCs w:val="21"/>
    </w:rPr>
  </w:style>
  <w:style w:type="table" w:styleId="Tabela-Siatka">
    <w:name w:val="Table Grid"/>
    <w:basedOn w:val="Standardowy"/>
    <w:uiPriority w:val="39"/>
    <w:rsid w:val="0087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4FA3-FD1F-473B-BAE8-4B824B73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441</Words>
  <Characters>2649</Characters>
  <Application>Microsoft Office Word</Application>
  <DocSecurity>0</DocSecurity>
  <Lines>22</Lines>
  <Paragraphs>6</Paragraphs>
  <ScaleCrop>false</ScaleCrop>
  <HeadingPairs>
    <vt:vector size="4" baseType="variant">
      <vt:variant>
        <vt:lpstr>Tytuł</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Yuichiro</dc:creator>
  <cp:keywords/>
  <dc:description/>
  <cp:lastModifiedBy>Konrad Szaciłowski</cp:lastModifiedBy>
  <cp:revision>3</cp:revision>
  <cp:lastPrinted>2024-12-18T15:41:00Z</cp:lastPrinted>
  <dcterms:created xsi:type="dcterms:W3CDTF">2025-07-10T06:28:00Z</dcterms:created>
  <dcterms:modified xsi:type="dcterms:W3CDTF">2025-07-10T06:50:00Z</dcterms:modified>
</cp:coreProperties>
</file>