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603" w:rsidRDefault="007B2E04">
      <w:pPr>
        <w:pStyle w:val="Heading1"/>
      </w:pPr>
      <w:r w:rsidRPr="007B2E04">
        <w:t>High-throughput fixed target SFX for pharmaceutical screening at the European XFEL</w:t>
      </w:r>
      <w:r w:rsidR="00A21488">
        <w:t xml:space="preserve"> </w:t>
      </w:r>
    </w:p>
    <w:p w:rsidR="00F85603" w:rsidRDefault="007B2E04">
      <w:pPr>
        <w:pStyle w:val="Heading2"/>
      </w:pPr>
      <w:r>
        <w:t>P.</w:t>
      </w:r>
      <w:r w:rsidRPr="007B2E04">
        <w:t xml:space="preserve"> Smyth</w:t>
      </w:r>
      <w:r w:rsidRPr="007B2E04">
        <w:rPr>
          <w:vertAlign w:val="superscript"/>
        </w:rPr>
        <w:t>1</w:t>
      </w:r>
      <w:r w:rsidRPr="007B2E04">
        <w:t>, K</w:t>
      </w:r>
      <w:r>
        <w:t>.</w:t>
      </w:r>
      <w:r w:rsidRPr="007B2E04">
        <w:t xml:space="preserve"> Dörner</w:t>
      </w:r>
      <w:r w:rsidRPr="007B2E04">
        <w:rPr>
          <w:vertAlign w:val="superscript"/>
        </w:rPr>
        <w:t>1</w:t>
      </w:r>
      <w:r w:rsidRPr="007B2E04">
        <w:t xml:space="preserve">, </w:t>
      </w:r>
      <w:r>
        <w:t>H.</w:t>
      </w:r>
      <w:r w:rsidRPr="007B2E04">
        <w:t xml:space="preserve"> Han</w:t>
      </w:r>
      <w:r>
        <w:rPr>
          <w:vertAlign w:val="superscript"/>
        </w:rPr>
        <w:t>1</w:t>
      </w:r>
      <w:r w:rsidRPr="007B2E04">
        <w:t>, S</w:t>
      </w:r>
      <w:r>
        <w:t>.</w:t>
      </w:r>
      <w:r w:rsidRPr="007B2E04">
        <w:t xml:space="preserve"> Günther</w:t>
      </w:r>
      <w:r>
        <w:rPr>
          <w:vertAlign w:val="superscript"/>
        </w:rPr>
        <w:t>2</w:t>
      </w:r>
      <w:r w:rsidRPr="007B2E04">
        <w:t>, J</w:t>
      </w:r>
      <w:r>
        <w:t>.</w:t>
      </w:r>
      <w:r w:rsidRPr="007B2E04">
        <w:t xml:space="preserve"> Bielecki</w:t>
      </w:r>
      <w:r w:rsidRPr="007B2E04">
        <w:rPr>
          <w:vertAlign w:val="superscript"/>
        </w:rPr>
        <w:t>1</w:t>
      </w:r>
      <w:r w:rsidRPr="007B2E04">
        <w:t>, R</w:t>
      </w:r>
      <w:r>
        <w:t>.</w:t>
      </w:r>
      <w:r w:rsidRPr="007B2E04">
        <w:t xml:space="preserve"> Letrun</w:t>
      </w:r>
      <w:r w:rsidRPr="007B2E04">
        <w:rPr>
          <w:vertAlign w:val="superscript"/>
        </w:rPr>
        <w:t>1</w:t>
      </w:r>
      <w:r w:rsidRPr="007B2E04">
        <w:t>, D</w:t>
      </w:r>
      <w:r>
        <w:t>.</w:t>
      </w:r>
      <w:r w:rsidRPr="007B2E04">
        <w:t xml:space="preserve"> Zabelskii</w:t>
      </w:r>
      <w:r>
        <w:rPr>
          <w:vertAlign w:val="superscript"/>
        </w:rPr>
        <w:t>1</w:t>
      </w:r>
      <w:r w:rsidRPr="007B2E04">
        <w:t>, D</w:t>
      </w:r>
      <w:r>
        <w:t>.</w:t>
      </w:r>
      <w:r w:rsidRPr="007B2E04">
        <w:t xml:space="preserve"> Melo</w:t>
      </w:r>
      <w:r>
        <w:rPr>
          <w:vertAlign w:val="superscript"/>
        </w:rPr>
        <w:t>1</w:t>
      </w:r>
      <w:r w:rsidRPr="007B2E04">
        <w:t>, R</w:t>
      </w:r>
      <w:r>
        <w:t>.</w:t>
      </w:r>
      <w:r w:rsidRPr="007B2E04">
        <w:t xml:space="preserve"> de Wijn</w:t>
      </w:r>
      <w:r>
        <w:rPr>
          <w:vertAlign w:val="superscript"/>
        </w:rPr>
        <w:t>1</w:t>
      </w:r>
      <w:r w:rsidRPr="007B2E04">
        <w:t>, Y</w:t>
      </w:r>
      <w:r>
        <w:t>.</w:t>
      </w:r>
      <w:r w:rsidRPr="007B2E04">
        <w:t xml:space="preserve"> Kim</w:t>
      </w:r>
      <w:r>
        <w:rPr>
          <w:vertAlign w:val="superscript"/>
        </w:rPr>
        <w:t>1</w:t>
      </w:r>
      <w:r w:rsidRPr="007B2E04">
        <w:t>, K</w:t>
      </w:r>
      <w:r>
        <w:t>.</w:t>
      </w:r>
      <w:r w:rsidRPr="007B2E04">
        <w:t xml:space="preserve"> Kharitonov</w:t>
      </w:r>
      <w:r>
        <w:rPr>
          <w:vertAlign w:val="superscript"/>
        </w:rPr>
        <w:t>1</w:t>
      </w:r>
      <w:r w:rsidRPr="007B2E04">
        <w:t>, F</w:t>
      </w:r>
      <w:r>
        <w:t>.</w:t>
      </w:r>
      <w:r w:rsidRPr="007B2E04">
        <w:t xml:space="preserve"> Koua</w:t>
      </w:r>
      <w:r>
        <w:rPr>
          <w:vertAlign w:val="superscript"/>
        </w:rPr>
        <w:t>1</w:t>
      </w:r>
      <w:r w:rsidRPr="007B2E04">
        <w:t>, P</w:t>
      </w:r>
      <w:r>
        <w:t>.</w:t>
      </w:r>
      <w:r w:rsidRPr="007B2E04">
        <w:t xml:space="preserve"> Reinke</w:t>
      </w:r>
      <w:r>
        <w:rPr>
          <w:vertAlign w:val="superscript"/>
        </w:rPr>
        <w:t>2</w:t>
      </w:r>
      <w:r w:rsidRPr="007B2E04">
        <w:t>, S</w:t>
      </w:r>
      <w:r>
        <w:t>.</w:t>
      </w:r>
      <w:r w:rsidRPr="007B2E04">
        <w:t xml:space="preserve"> Falke</w:t>
      </w:r>
      <w:r>
        <w:rPr>
          <w:vertAlign w:val="superscript"/>
        </w:rPr>
        <w:t>2</w:t>
      </w:r>
      <w:r w:rsidRPr="007B2E04">
        <w:t>, S</w:t>
      </w:r>
      <w:r>
        <w:t>.</w:t>
      </w:r>
      <w:r w:rsidRPr="007B2E04">
        <w:t xml:space="preserve"> </w:t>
      </w:r>
      <w:proofErr w:type="spellStart"/>
      <w:r w:rsidRPr="007B2E04">
        <w:t>Thekku</w:t>
      </w:r>
      <w:proofErr w:type="spellEnd"/>
      <w:r w:rsidRPr="007B2E04">
        <w:t xml:space="preserve"> Veedu</w:t>
      </w:r>
      <w:r>
        <w:rPr>
          <w:vertAlign w:val="superscript"/>
        </w:rPr>
        <w:t>2</w:t>
      </w:r>
      <w:r w:rsidRPr="007B2E04">
        <w:t>, J</w:t>
      </w:r>
      <w:r>
        <w:t>.</w:t>
      </w:r>
      <w:r w:rsidRPr="007B2E04">
        <w:t xml:space="preserve"> Glerup</w:t>
      </w:r>
      <w:r>
        <w:rPr>
          <w:vertAlign w:val="superscript"/>
        </w:rPr>
        <w:t>3</w:t>
      </w:r>
      <w:r w:rsidRPr="007B2E04">
        <w:t>, G</w:t>
      </w:r>
      <w:r>
        <w:t>.</w:t>
      </w:r>
      <w:r w:rsidRPr="007B2E04">
        <w:t xml:space="preserve"> Wehlander</w:t>
      </w:r>
      <w:r>
        <w:rPr>
          <w:vertAlign w:val="superscript"/>
        </w:rPr>
        <w:t>3</w:t>
      </w:r>
      <w:r w:rsidRPr="007B2E04">
        <w:t>, R</w:t>
      </w:r>
      <w:r>
        <w:t>.</w:t>
      </w:r>
      <w:r w:rsidRPr="007B2E04">
        <w:t xml:space="preserve"> Schubert</w:t>
      </w:r>
      <w:r>
        <w:rPr>
          <w:vertAlign w:val="superscript"/>
        </w:rPr>
        <w:t>1</w:t>
      </w:r>
      <w:r w:rsidRPr="007B2E04">
        <w:t>, J</w:t>
      </w:r>
      <w:r>
        <w:t>.</w:t>
      </w:r>
      <w:r w:rsidRPr="007B2E04">
        <w:t xml:space="preserve"> Schulz</w:t>
      </w:r>
      <w:r>
        <w:rPr>
          <w:vertAlign w:val="superscript"/>
        </w:rPr>
        <w:t>1</w:t>
      </w:r>
      <w:r w:rsidRPr="007B2E04">
        <w:t>, A</w:t>
      </w:r>
      <w:r>
        <w:t>.</w:t>
      </w:r>
      <w:r w:rsidRPr="007B2E04">
        <w:t xml:space="preserve"> Meents</w:t>
      </w:r>
      <w:r>
        <w:rPr>
          <w:vertAlign w:val="superscript"/>
        </w:rPr>
        <w:t>2</w:t>
      </w:r>
    </w:p>
    <w:p w:rsidR="00F85603" w:rsidRDefault="00A21488" w:rsidP="007B2E04">
      <w:pPr>
        <w:pStyle w:val="Heading3"/>
      </w:pPr>
      <w:r>
        <w:rPr>
          <w:vertAlign w:val="superscript"/>
        </w:rPr>
        <w:t>1</w:t>
      </w:r>
      <w:r w:rsidR="007B2E04">
        <w:t xml:space="preserve">European XFEL GmbH, </w:t>
      </w:r>
      <w:proofErr w:type="spellStart"/>
      <w:r w:rsidR="007B2E04">
        <w:t>Holzkoppel</w:t>
      </w:r>
      <w:proofErr w:type="spellEnd"/>
      <w:r w:rsidR="007B2E04">
        <w:t xml:space="preserve"> 4, 22869 Schenefeld, Germany, </w:t>
      </w:r>
      <w:r w:rsidR="007B2E04">
        <w:rPr>
          <w:vertAlign w:val="superscript"/>
        </w:rPr>
        <w:t>2</w:t>
      </w:r>
      <w:r w:rsidR="007B2E04">
        <w:t xml:space="preserve">Center for Free-Electron Laser Science, </w:t>
      </w:r>
      <w:proofErr w:type="spellStart"/>
      <w:r w:rsidR="007B2E04">
        <w:t>Deutsches</w:t>
      </w:r>
      <w:proofErr w:type="spellEnd"/>
      <w:r w:rsidR="007B2E04">
        <w:t xml:space="preserve"> </w:t>
      </w:r>
      <w:proofErr w:type="spellStart"/>
      <w:r w:rsidR="007B2E04">
        <w:t>Elektronen</w:t>
      </w:r>
      <w:proofErr w:type="spellEnd"/>
      <w:r w:rsidR="007B2E04">
        <w:t xml:space="preserve">-Synchrotron DESY, </w:t>
      </w:r>
      <w:proofErr w:type="spellStart"/>
      <w:r w:rsidR="007B2E04">
        <w:t>Notkestraße</w:t>
      </w:r>
      <w:proofErr w:type="spellEnd"/>
      <w:r w:rsidR="007B2E04">
        <w:t xml:space="preserve"> 85, 22607 Hamburg, Germany, </w:t>
      </w:r>
      <w:r w:rsidR="007B2E04">
        <w:rPr>
          <w:vertAlign w:val="superscript"/>
        </w:rPr>
        <w:t>3</w:t>
      </w:r>
      <w:r w:rsidR="007B2E04">
        <w:t xml:space="preserve">University of Gothenburg, </w:t>
      </w:r>
      <w:proofErr w:type="spellStart"/>
      <w:r w:rsidR="007B2E04">
        <w:t>Universitetsplatsen</w:t>
      </w:r>
      <w:proofErr w:type="spellEnd"/>
      <w:r w:rsidR="007B2E04">
        <w:t xml:space="preserve"> 1, </w:t>
      </w:r>
      <w:proofErr w:type="spellStart"/>
      <w:r w:rsidR="007B2E04">
        <w:t>Göteborg</w:t>
      </w:r>
      <w:proofErr w:type="spellEnd"/>
      <w:r w:rsidR="007B2E04">
        <w:t>, Sweden</w:t>
      </w:r>
    </w:p>
    <w:p w:rsidR="00F85603" w:rsidRDefault="007B2E04">
      <w:pPr>
        <w:pStyle w:val="Heading3"/>
        <w:rPr>
          <w:sz w:val="18"/>
          <w:szCs w:val="18"/>
        </w:rPr>
      </w:pPr>
      <w:r>
        <w:t>peter.smyth@xfel.eu</w:t>
      </w:r>
    </w:p>
    <w:p w:rsidR="00F74E3D" w:rsidRDefault="007B2E04" w:rsidP="007B2E04">
      <w:r w:rsidRPr="007B2E04">
        <w:t>Protein structures collected at room temperature are important when conducting drug design studies, since protein-ligand binding is temperature</w:t>
      </w:r>
      <w:r w:rsidR="00C01695">
        <w:t xml:space="preserve"> </w:t>
      </w:r>
      <w:r w:rsidRPr="007B2E04">
        <w:t>dependent, and room temperature data more accurately predicts interactions under physiological conditions</w:t>
      </w:r>
      <w:r w:rsidR="00356C25">
        <w:t xml:space="preserve"> </w:t>
      </w:r>
      <w:r w:rsidR="00E63EF9">
        <w:t>[1]</w:t>
      </w:r>
      <w:r w:rsidRPr="007B2E04">
        <w:t>. Efficient sample delivery has remained a challenge for serial femtosecond crystallography, and commonly used methods require large amounts of sample and beamtime. Fixed target sample delivery with the Roadrunner goniometer is ideally suited to X-ray drug discovery where throughput is important, as complete datasets can be collected under 30 minutes</w:t>
      </w:r>
      <w:r w:rsidR="00E63EF9">
        <w:t xml:space="preserve"> [2</w:t>
      </w:r>
      <w:r w:rsidR="002250F1">
        <w:t xml:space="preserve">, </w:t>
      </w:r>
      <w:r w:rsidR="002E4D21">
        <w:t>3</w:t>
      </w:r>
      <w:r w:rsidR="00E63EF9">
        <w:t>]</w:t>
      </w:r>
      <w:r w:rsidRPr="007B2E04">
        <w:t>.</w:t>
      </w:r>
    </w:p>
    <w:p w:rsidR="00F74E3D" w:rsidRDefault="00F74E3D" w:rsidP="00F74E3D">
      <w:pPr>
        <w:jc w:val="center"/>
      </w:pPr>
      <w:r>
        <w:rPr>
          <w:noProof/>
        </w:rPr>
        <w:drawing>
          <wp:inline distT="0" distB="0" distL="0" distR="0" wp14:anchorId="0467C49B">
            <wp:extent cx="4175514" cy="25420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4"/>
                    <a:stretch/>
                  </pic:blipFill>
                  <pic:spPr bwMode="auto">
                    <a:xfrm>
                      <a:off x="0" y="0"/>
                      <a:ext cx="4175514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E3D" w:rsidRDefault="00F74E3D" w:rsidP="00F74E3D">
      <w:pPr>
        <w:pStyle w:val="Heading6"/>
      </w:pPr>
      <w:r w:rsidRPr="00F74E3D">
        <w:rPr>
          <w:b/>
        </w:rPr>
        <w:t>Figure 1.</w:t>
      </w:r>
      <w:r>
        <w:t xml:space="preserve"> The Roadrunner goniometer at the downstream interaction region of the SPB/SFX instrument ad the European XFEL.</w:t>
      </w:r>
    </w:p>
    <w:p w:rsidR="007B2E04" w:rsidRPr="007B2E04" w:rsidRDefault="007B2E04" w:rsidP="007B2E04">
      <w:r w:rsidRPr="007B2E04">
        <w:t>The goniometer has already been successfully commissioned at the SPB/SFX instrument at the European XFEL</w:t>
      </w:r>
      <w:r w:rsidR="00170BB8">
        <w:t xml:space="preserve"> (Fig. 1)</w:t>
      </w:r>
      <w:r w:rsidRPr="007B2E04">
        <w:t>. We are using this technique to investigate compound and fragment binding to potential drug targets, with UDP-N-</w:t>
      </w:r>
      <w:r w:rsidR="00936E47">
        <w:t>a</w:t>
      </w:r>
      <w:r w:rsidRPr="007B2E04">
        <w:t>cetylglucosamine enolpyruvyl transferase (MurA) as an initial goal</w:t>
      </w:r>
      <w:r w:rsidR="00E63EF9">
        <w:t xml:space="preserve"> [4</w:t>
      </w:r>
      <w:r w:rsidR="002250F1">
        <w:t xml:space="preserve">, </w:t>
      </w:r>
      <w:r w:rsidR="002E4D21">
        <w:t>5</w:t>
      </w:r>
      <w:r w:rsidR="00E63EF9">
        <w:t>]</w:t>
      </w:r>
      <w:r w:rsidRPr="007B2E04">
        <w:t>.</w:t>
      </w:r>
    </w:p>
    <w:p w:rsidR="00F85603" w:rsidRDefault="00356C25" w:rsidP="00E63EF9">
      <w:pPr>
        <w:pStyle w:val="Heading4"/>
      </w:pPr>
      <w:r>
        <w:t xml:space="preserve">[1] </w:t>
      </w:r>
      <w:r w:rsidRPr="00356C25">
        <w:t xml:space="preserve">Ebrahim, A., Riley, B. T., Kumaran, D., Andi, B., Fuchs, M. R., McSweeney, S., &amp; </w:t>
      </w:r>
      <w:proofErr w:type="spellStart"/>
      <w:r w:rsidRPr="00356C25">
        <w:t>Keedy</w:t>
      </w:r>
      <w:proofErr w:type="spellEnd"/>
      <w:r w:rsidRPr="00356C25">
        <w:t xml:space="preserve">, D. A. (2022). </w:t>
      </w:r>
      <w:proofErr w:type="spellStart"/>
      <w:r w:rsidRPr="00356C25">
        <w:rPr>
          <w:i/>
          <w:iCs/>
        </w:rPr>
        <w:t>IUCrJ</w:t>
      </w:r>
      <w:proofErr w:type="spellEnd"/>
      <w:r w:rsidR="00E63EF9">
        <w:t>,</w:t>
      </w:r>
      <w:r w:rsidRPr="00356C25">
        <w:t xml:space="preserve"> </w:t>
      </w:r>
      <w:r w:rsidRPr="00356C25">
        <w:rPr>
          <w:b/>
          <w:iCs/>
        </w:rPr>
        <w:t>9</w:t>
      </w:r>
      <w:r w:rsidRPr="00356C25">
        <w:t>, 682–694.</w:t>
      </w:r>
    </w:p>
    <w:p w:rsidR="00E63EF9" w:rsidRDefault="00E63EF9" w:rsidP="00E63EF9">
      <w:pPr>
        <w:pStyle w:val="Heading4"/>
      </w:pPr>
      <w:r>
        <w:t xml:space="preserve">[2] </w:t>
      </w:r>
      <w:proofErr w:type="spellStart"/>
      <w:r w:rsidRPr="00E63EF9">
        <w:t>Roedig</w:t>
      </w:r>
      <w:proofErr w:type="spellEnd"/>
      <w:r w:rsidRPr="00E63EF9">
        <w:t xml:space="preserve">, P., </w:t>
      </w:r>
      <w:proofErr w:type="spellStart"/>
      <w:r w:rsidRPr="00E63EF9">
        <w:t>Vartiainen</w:t>
      </w:r>
      <w:proofErr w:type="spellEnd"/>
      <w:r w:rsidRPr="00E63EF9">
        <w:t xml:space="preserve">, I., </w:t>
      </w:r>
      <w:proofErr w:type="spellStart"/>
      <w:r w:rsidRPr="00E63EF9">
        <w:t>Duman</w:t>
      </w:r>
      <w:proofErr w:type="spellEnd"/>
      <w:r w:rsidRPr="00E63EF9">
        <w:t xml:space="preserve">, R., </w:t>
      </w:r>
      <w:proofErr w:type="spellStart"/>
      <w:r w:rsidRPr="00E63EF9">
        <w:t>Panneerselvam</w:t>
      </w:r>
      <w:proofErr w:type="spellEnd"/>
      <w:r w:rsidRPr="00E63EF9">
        <w:t xml:space="preserve">, S., </w:t>
      </w:r>
      <w:proofErr w:type="spellStart"/>
      <w:r w:rsidRPr="00E63EF9">
        <w:t>Stübe</w:t>
      </w:r>
      <w:proofErr w:type="spellEnd"/>
      <w:r w:rsidRPr="00E63EF9">
        <w:t xml:space="preserve">, N., </w:t>
      </w:r>
      <w:proofErr w:type="spellStart"/>
      <w:r w:rsidRPr="00E63EF9">
        <w:t>Lorbeer</w:t>
      </w:r>
      <w:proofErr w:type="spellEnd"/>
      <w:r w:rsidRPr="00E63EF9">
        <w:t xml:space="preserve">, O., Warmer, M., Sutton, G., Stuart, D. I., </w:t>
      </w:r>
      <w:proofErr w:type="spellStart"/>
      <w:r w:rsidRPr="00E63EF9">
        <w:t>Weckert</w:t>
      </w:r>
      <w:proofErr w:type="spellEnd"/>
      <w:r w:rsidRPr="00E63EF9">
        <w:t xml:space="preserve">, E., David, C., Wagner, A., &amp; </w:t>
      </w:r>
      <w:proofErr w:type="spellStart"/>
      <w:r w:rsidRPr="00E63EF9">
        <w:t>Meents</w:t>
      </w:r>
      <w:proofErr w:type="spellEnd"/>
      <w:r w:rsidRPr="00E63EF9">
        <w:t xml:space="preserve">, A. (2015). </w:t>
      </w:r>
      <w:r w:rsidRPr="00E63EF9">
        <w:rPr>
          <w:i/>
          <w:iCs/>
        </w:rPr>
        <w:t>Sci</w:t>
      </w:r>
      <w:r>
        <w:rPr>
          <w:i/>
          <w:iCs/>
        </w:rPr>
        <w:t>.</w:t>
      </w:r>
      <w:r w:rsidRPr="00E63EF9">
        <w:rPr>
          <w:i/>
          <w:iCs/>
        </w:rPr>
        <w:t xml:space="preserve"> Rep</w:t>
      </w:r>
      <w:r>
        <w:rPr>
          <w:i/>
          <w:iCs/>
        </w:rPr>
        <w:t>.</w:t>
      </w:r>
      <w:r w:rsidRPr="00E63EF9">
        <w:t xml:space="preserve">, </w:t>
      </w:r>
      <w:r w:rsidRPr="00E63EF9">
        <w:rPr>
          <w:b/>
          <w:iCs/>
        </w:rPr>
        <w:t>5</w:t>
      </w:r>
      <w:r w:rsidRPr="00E63EF9">
        <w:t>, 10451.</w:t>
      </w:r>
    </w:p>
    <w:p w:rsidR="002E4D21" w:rsidRPr="002E4D21" w:rsidRDefault="002E4D21" w:rsidP="002E4D21">
      <w:pPr>
        <w:rPr>
          <w:lang w:eastAsia="cs-CZ"/>
        </w:rPr>
      </w:pPr>
      <w:r>
        <w:rPr>
          <w:lang w:eastAsia="cs-CZ"/>
        </w:rPr>
        <w:t xml:space="preserve">[3] </w:t>
      </w:r>
      <w:r w:rsidRPr="002E4D21">
        <w:rPr>
          <w:lang w:eastAsia="cs-CZ"/>
        </w:rPr>
        <w:t xml:space="preserve">Shelby, M. L., </w:t>
      </w:r>
      <w:proofErr w:type="spellStart"/>
      <w:r w:rsidRPr="002E4D21">
        <w:rPr>
          <w:lang w:eastAsia="cs-CZ"/>
        </w:rPr>
        <w:t>Gilbile</w:t>
      </w:r>
      <w:proofErr w:type="spellEnd"/>
      <w:r w:rsidRPr="002E4D21">
        <w:rPr>
          <w:lang w:eastAsia="cs-CZ"/>
        </w:rPr>
        <w:t xml:space="preserve">, D., Grant, T. D., </w:t>
      </w:r>
      <w:proofErr w:type="spellStart"/>
      <w:r w:rsidRPr="002E4D21">
        <w:rPr>
          <w:lang w:eastAsia="cs-CZ"/>
        </w:rPr>
        <w:t>Seuring</w:t>
      </w:r>
      <w:proofErr w:type="spellEnd"/>
      <w:r w:rsidRPr="002E4D21">
        <w:rPr>
          <w:lang w:eastAsia="cs-CZ"/>
        </w:rPr>
        <w:t xml:space="preserve">, C., </w:t>
      </w:r>
      <w:proofErr w:type="spellStart"/>
      <w:r w:rsidRPr="002E4D21">
        <w:rPr>
          <w:lang w:eastAsia="cs-CZ"/>
        </w:rPr>
        <w:t>Segelke</w:t>
      </w:r>
      <w:proofErr w:type="spellEnd"/>
      <w:r w:rsidRPr="002E4D21">
        <w:rPr>
          <w:lang w:eastAsia="cs-CZ"/>
        </w:rPr>
        <w:t xml:space="preserve">, B. W., He, W., Evans, A. C., </w:t>
      </w:r>
      <w:proofErr w:type="spellStart"/>
      <w:r w:rsidRPr="002E4D21">
        <w:rPr>
          <w:lang w:eastAsia="cs-CZ"/>
        </w:rPr>
        <w:t>Pakendorf</w:t>
      </w:r>
      <w:proofErr w:type="spellEnd"/>
      <w:r w:rsidRPr="002E4D21">
        <w:rPr>
          <w:lang w:eastAsia="cs-CZ"/>
        </w:rPr>
        <w:t xml:space="preserve">, T., Fischer, P., Hunter, M. S., </w:t>
      </w:r>
      <w:proofErr w:type="spellStart"/>
      <w:r w:rsidRPr="002E4D21">
        <w:rPr>
          <w:lang w:eastAsia="cs-CZ"/>
        </w:rPr>
        <w:t>Batyuk</w:t>
      </w:r>
      <w:proofErr w:type="spellEnd"/>
      <w:r w:rsidRPr="002E4D21">
        <w:rPr>
          <w:lang w:eastAsia="cs-CZ"/>
        </w:rPr>
        <w:t xml:space="preserve">, A., </w:t>
      </w:r>
      <w:proofErr w:type="spellStart"/>
      <w:r w:rsidRPr="002E4D21">
        <w:rPr>
          <w:lang w:eastAsia="cs-CZ"/>
        </w:rPr>
        <w:t>Barthelmess</w:t>
      </w:r>
      <w:proofErr w:type="spellEnd"/>
      <w:r w:rsidRPr="002E4D21">
        <w:rPr>
          <w:lang w:eastAsia="cs-CZ"/>
        </w:rPr>
        <w:t xml:space="preserve">, M., </w:t>
      </w:r>
      <w:proofErr w:type="spellStart"/>
      <w:r w:rsidRPr="002E4D21">
        <w:rPr>
          <w:lang w:eastAsia="cs-CZ"/>
        </w:rPr>
        <w:t>Meents</w:t>
      </w:r>
      <w:proofErr w:type="spellEnd"/>
      <w:r w:rsidRPr="002E4D21">
        <w:rPr>
          <w:lang w:eastAsia="cs-CZ"/>
        </w:rPr>
        <w:t xml:space="preserve">, A., Coleman, M. A., Kuhl, T. L., &amp; Frank, M. (2020). </w:t>
      </w:r>
      <w:proofErr w:type="spellStart"/>
      <w:r w:rsidRPr="002E4D21">
        <w:rPr>
          <w:i/>
          <w:iCs/>
          <w:lang w:eastAsia="cs-CZ"/>
        </w:rPr>
        <w:t>IUCrJ</w:t>
      </w:r>
      <w:proofErr w:type="spellEnd"/>
      <w:r w:rsidRPr="002E4D21">
        <w:rPr>
          <w:lang w:eastAsia="cs-CZ"/>
        </w:rPr>
        <w:t xml:space="preserve">, </w:t>
      </w:r>
      <w:r w:rsidRPr="002E4D21">
        <w:rPr>
          <w:b/>
          <w:iCs/>
          <w:lang w:eastAsia="cs-CZ"/>
        </w:rPr>
        <w:t>7</w:t>
      </w:r>
      <w:r w:rsidRPr="002E4D21">
        <w:rPr>
          <w:lang w:eastAsia="cs-CZ"/>
        </w:rPr>
        <w:t>, 30–41.</w:t>
      </w:r>
    </w:p>
    <w:p w:rsidR="00FF7A9E" w:rsidRPr="00FF7A9E" w:rsidRDefault="00E63EF9" w:rsidP="00FF7A9E">
      <w:pPr>
        <w:pStyle w:val="Heading4"/>
      </w:pPr>
      <w:r>
        <w:t>[</w:t>
      </w:r>
      <w:r w:rsidR="002E4D21">
        <w:t>4</w:t>
      </w:r>
      <w:r>
        <w:t>]</w:t>
      </w:r>
      <w:r w:rsidR="00B246FF">
        <w:t xml:space="preserve"> </w:t>
      </w:r>
      <w:r w:rsidR="00FF7A9E" w:rsidRPr="00FF7A9E">
        <w:t xml:space="preserve">de Oliveira, M. V. D., Furtado, R. M., da Costa, K. S., </w:t>
      </w:r>
      <w:proofErr w:type="spellStart"/>
      <w:r w:rsidR="00FF7A9E" w:rsidRPr="00FF7A9E">
        <w:t>Vakal</w:t>
      </w:r>
      <w:proofErr w:type="spellEnd"/>
      <w:r w:rsidR="00FF7A9E" w:rsidRPr="00FF7A9E">
        <w:t xml:space="preserve">, S., &amp; Lima, A. H. (2022). </w:t>
      </w:r>
      <w:r w:rsidR="00FF7A9E" w:rsidRPr="00FF7A9E">
        <w:rPr>
          <w:i/>
          <w:iCs/>
        </w:rPr>
        <w:t xml:space="preserve">Front. Mol. </w:t>
      </w:r>
      <w:proofErr w:type="spellStart"/>
      <w:r w:rsidR="00FF7A9E" w:rsidRPr="00FF7A9E">
        <w:rPr>
          <w:i/>
          <w:iCs/>
        </w:rPr>
        <w:t>Biosci</w:t>
      </w:r>
      <w:proofErr w:type="spellEnd"/>
      <w:r w:rsidR="00FF7A9E" w:rsidRPr="00FF7A9E">
        <w:rPr>
          <w:i/>
          <w:iCs/>
        </w:rPr>
        <w:t>.</w:t>
      </w:r>
      <w:r w:rsidR="00FF7A9E" w:rsidRPr="00FF7A9E">
        <w:t xml:space="preserve">, </w:t>
      </w:r>
      <w:r w:rsidR="00FF7A9E" w:rsidRPr="00FF7A9E">
        <w:rPr>
          <w:b/>
          <w:iCs/>
        </w:rPr>
        <w:t>9</w:t>
      </w:r>
      <w:r w:rsidR="00FF7A9E" w:rsidRPr="00FF7A9E">
        <w:t>.</w:t>
      </w:r>
    </w:p>
    <w:p w:rsidR="00B246FF" w:rsidRPr="00B246FF" w:rsidRDefault="00E63EF9" w:rsidP="00B246FF">
      <w:pPr>
        <w:pStyle w:val="Heading4"/>
      </w:pPr>
      <w:r>
        <w:t>[</w:t>
      </w:r>
      <w:r w:rsidR="002E4D21">
        <w:t>5</w:t>
      </w:r>
      <w:r>
        <w:t>]</w:t>
      </w:r>
      <w:r w:rsidR="00B246FF">
        <w:t xml:space="preserve"> </w:t>
      </w:r>
      <w:r w:rsidR="00B246FF" w:rsidRPr="00B246FF">
        <w:t xml:space="preserve">Zhu, J.-Y., Yang, Y., Han, H., </w:t>
      </w:r>
      <w:proofErr w:type="spellStart"/>
      <w:r w:rsidR="00B246FF" w:rsidRPr="00B246FF">
        <w:t>Betzi</w:t>
      </w:r>
      <w:proofErr w:type="spellEnd"/>
      <w:r w:rsidR="00B246FF" w:rsidRPr="00B246FF">
        <w:t xml:space="preserve">, S., Olesen, S. H., </w:t>
      </w:r>
      <w:proofErr w:type="spellStart"/>
      <w:r w:rsidR="00B246FF" w:rsidRPr="00B246FF">
        <w:t>Marsilio</w:t>
      </w:r>
      <w:proofErr w:type="spellEnd"/>
      <w:r w:rsidR="00B246FF" w:rsidRPr="00B246FF">
        <w:t xml:space="preserve">, F., &amp; </w:t>
      </w:r>
      <w:proofErr w:type="spellStart"/>
      <w:r w:rsidR="00B246FF" w:rsidRPr="00B246FF">
        <w:t>Schönbrunn</w:t>
      </w:r>
      <w:proofErr w:type="spellEnd"/>
      <w:r w:rsidR="00B246FF" w:rsidRPr="00B246FF">
        <w:t xml:space="preserve">, E. (2012). </w:t>
      </w:r>
      <w:r w:rsidR="00B246FF" w:rsidRPr="00B246FF">
        <w:rPr>
          <w:i/>
          <w:iCs/>
        </w:rPr>
        <w:t>J</w:t>
      </w:r>
      <w:r w:rsidR="00B246FF">
        <w:rPr>
          <w:i/>
          <w:iCs/>
        </w:rPr>
        <w:t>.</w:t>
      </w:r>
      <w:r w:rsidR="00B246FF" w:rsidRPr="00B246FF">
        <w:rPr>
          <w:i/>
          <w:iCs/>
        </w:rPr>
        <w:t xml:space="preserve"> Biol</w:t>
      </w:r>
      <w:r w:rsidR="00B246FF">
        <w:rPr>
          <w:i/>
          <w:iCs/>
        </w:rPr>
        <w:t>.</w:t>
      </w:r>
      <w:r w:rsidR="00B246FF" w:rsidRPr="00B246FF">
        <w:rPr>
          <w:i/>
          <w:iCs/>
        </w:rPr>
        <w:t xml:space="preserve"> Chem</w:t>
      </w:r>
      <w:r w:rsidR="00B246FF">
        <w:rPr>
          <w:i/>
          <w:iCs/>
        </w:rPr>
        <w:t>.</w:t>
      </w:r>
      <w:r w:rsidR="00B246FF" w:rsidRPr="00B246FF">
        <w:t xml:space="preserve">, </w:t>
      </w:r>
      <w:r w:rsidR="00B246FF" w:rsidRPr="00B246FF">
        <w:rPr>
          <w:b/>
          <w:iCs/>
        </w:rPr>
        <w:t>287</w:t>
      </w:r>
      <w:r w:rsidR="00B246FF" w:rsidRPr="00B246FF">
        <w:t>, 12657–12667.</w:t>
      </w:r>
    </w:p>
    <w:p w:rsidR="00E63EF9" w:rsidRPr="00E63EF9" w:rsidRDefault="00E7133D" w:rsidP="00E7133D">
      <w:pPr>
        <w:pStyle w:val="Acknowledgement"/>
      </w:pPr>
      <w:r w:rsidRPr="00E7133D">
        <w:rPr>
          <w:lang w:val="en-US"/>
        </w:rPr>
        <w:t xml:space="preserve">The project on which this report is based was funded by the German Federal Ministry of Education and Research under grant number </w:t>
      </w:r>
      <w:r w:rsidRPr="00E7133D">
        <w:t>13K22XXA</w:t>
      </w:r>
      <w:r w:rsidRPr="00E7133D">
        <w:rPr>
          <w:lang w:val="en-US"/>
        </w:rPr>
        <w:t>. The responsibility for the content of this publication lies with the author.</w:t>
      </w:r>
      <w:bookmarkStart w:id="0" w:name="_GoBack"/>
      <w:bookmarkEnd w:id="0"/>
    </w:p>
    <w:sectPr w:rsidR="00E63EF9" w:rsidRPr="00E63EF9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4E2" w:rsidRDefault="00FB74E2">
      <w:pPr>
        <w:spacing w:after="0"/>
      </w:pPr>
      <w:r>
        <w:separator/>
      </w:r>
    </w:p>
  </w:endnote>
  <w:endnote w:type="continuationSeparator" w:id="0">
    <w:p w:rsidR="00FB74E2" w:rsidRDefault="00FB74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603" w:rsidRDefault="00A21488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:rsidR="00F85603" w:rsidRDefault="00F85603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4E2" w:rsidRDefault="00FB74E2">
      <w:pPr>
        <w:spacing w:after="0"/>
      </w:pPr>
      <w:r>
        <w:separator/>
      </w:r>
    </w:p>
  </w:footnote>
  <w:footnote w:type="continuationSeparator" w:id="0">
    <w:p w:rsidR="00FB74E2" w:rsidRDefault="00FB74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603" w:rsidRDefault="005913BC">
    <w:pPr>
      <w:tabs>
        <w:tab w:val="center" w:pos="4703"/>
        <w:tab w:val="right" w:pos="9406"/>
      </w:tabs>
    </w:pPr>
    <w:r>
      <w:rPr>
        <w:b/>
        <w:bCs/>
      </w:rPr>
      <w:t>M6</w:t>
    </w:r>
    <w:r w:rsidR="00A21488">
      <w:tab/>
    </w:r>
    <w:r w:rsidRPr="005913BC">
      <w:rPr>
        <w:b/>
        <w:bCs/>
      </w:rPr>
      <w:t>Fragment screening and structural based drug discovery</w:t>
    </w:r>
    <w:r w:rsidR="00A2148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03"/>
    <w:rsid w:val="000C0DB1"/>
    <w:rsid w:val="00170BB8"/>
    <w:rsid w:val="002250F1"/>
    <w:rsid w:val="002E4D21"/>
    <w:rsid w:val="00356C25"/>
    <w:rsid w:val="003806C9"/>
    <w:rsid w:val="00391BB5"/>
    <w:rsid w:val="003F6E40"/>
    <w:rsid w:val="004F3725"/>
    <w:rsid w:val="005913BC"/>
    <w:rsid w:val="007B2E04"/>
    <w:rsid w:val="008B27A9"/>
    <w:rsid w:val="00936E47"/>
    <w:rsid w:val="009E4DBD"/>
    <w:rsid w:val="00A21488"/>
    <w:rsid w:val="00A46F6D"/>
    <w:rsid w:val="00B246FF"/>
    <w:rsid w:val="00C01695"/>
    <w:rsid w:val="00C60749"/>
    <w:rsid w:val="00E63EF9"/>
    <w:rsid w:val="00E7133D"/>
    <w:rsid w:val="00F74E3D"/>
    <w:rsid w:val="00F85603"/>
    <w:rsid w:val="00FB74E2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CC95F"/>
  <w15:docId w15:val="{C77A6328-4822-4D73-B5AA-D9642728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C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3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1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8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2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4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6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7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8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38310-61D9-445E-95EC-1F125522A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Materials Structure</vt:lpstr>
      <vt:lpstr>High-throughput fixed target SFX for pharmaceutical screening at the European XF</vt:lpstr>
      <vt:lpstr>    P. Smyth1, K. Dörner1, H. Han1, S. Günther2, J. Bielecki1, R. Letrun1, D. Zabels</vt:lpstr>
      <vt:lpstr>        1European XFEL GmbH, Holzkoppel 4, 22869 Schenefeld, Germany, 2Center for Free-E</vt:lpstr>
      <vt:lpstr>        peter.smyth@xfel.eu</vt:lpstr>
    </vt:vector>
  </TitlesOfParts>
  <Company>MFF UK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Smyth, Peter</cp:lastModifiedBy>
  <cp:revision>21</cp:revision>
  <dcterms:created xsi:type="dcterms:W3CDTF">2025-05-16T12:11:00Z</dcterms:created>
  <dcterms:modified xsi:type="dcterms:W3CDTF">2025-05-16T12:48:00Z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