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BBFE" w14:textId="77777777" w:rsidR="006E68B0" w:rsidRDefault="006E68B0">
      <w:pPr>
        <w:pStyle w:val="Heading2"/>
        <w:rPr>
          <w:iCs w:val="0"/>
          <w:kern w:val="2"/>
          <w:sz w:val="24"/>
          <w:szCs w:val="32"/>
        </w:rPr>
      </w:pPr>
      <w:r w:rsidRPr="006E68B0">
        <w:rPr>
          <w:iCs w:val="0"/>
          <w:kern w:val="2"/>
          <w:sz w:val="24"/>
          <w:szCs w:val="32"/>
        </w:rPr>
        <w:t xml:space="preserve">GruPol: A Database-Driven Framework for Predicting Biomolecular Electrostatic and Optoelectronic Properties </w:t>
      </w:r>
    </w:p>
    <w:p w14:paraId="4C40B84B" w14:textId="77777777" w:rsidR="00447960" w:rsidRDefault="006E68B0">
      <w:pPr>
        <w:pStyle w:val="Heading2"/>
      </w:pPr>
      <w:r>
        <w:t>A</w:t>
      </w:r>
      <w:r w:rsidR="0009043A">
        <w:t xml:space="preserve">. </w:t>
      </w:r>
      <w:r>
        <w:t>Krawczuk</w:t>
      </w:r>
      <w:r w:rsidR="0009043A">
        <w:rPr>
          <w:vertAlign w:val="superscript"/>
        </w:rPr>
        <w:t>1</w:t>
      </w:r>
      <w:r w:rsidR="0009043A">
        <w:t xml:space="preserve">, </w:t>
      </w:r>
      <w:r>
        <w:t>R. F. Ligorio</w:t>
      </w:r>
      <w:r w:rsidR="0009043A">
        <w:rPr>
          <w:vertAlign w:val="superscript"/>
        </w:rPr>
        <w:t>1</w:t>
      </w:r>
    </w:p>
    <w:p w14:paraId="69EAF7D9" w14:textId="77777777" w:rsidR="00447960" w:rsidRDefault="0009043A">
      <w:pPr>
        <w:pStyle w:val="Heading3"/>
      </w:pPr>
      <w:r>
        <w:rPr>
          <w:vertAlign w:val="superscript"/>
        </w:rPr>
        <w:t>1</w:t>
      </w:r>
      <w:r w:rsidR="006E68B0">
        <w:t xml:space="preserve">Institue of Inorganic Chemistry, University of Goettingen, Tammanstrasse 4, 37077 Goettingen, Germany </w:t>
      </w:r>
    </w:p>
    <w:p w14:paraId="76334188" w14:textId="752AFC4B" w:rsidR="00447960" w:rsidRDefault="009F66AB">
      <w:pPr>
        <w:pStyle w:val="Heading3"/>
        <w:rPr>
          <w:sz w:val="18"/>
          <w:szCs w:val="18"/>
        </w:rPr>
      </w:pPr>
      <w:r>
        <w:t>a</w:t>
      </w:r>
      <w:r w:rsidR="006E68B0">
        <w:t>nna.krawczuk@uni-goettingen.de</w:t>
      </w:r>
      <w:r w:rsidR="0009043A">
        <w:rPr>
          <w:lang w:eastAsia="de-DE"/>
        </w:rPr>
        <w:br/>
      </w:r>
    </w:p>
    <w:p w14:paraId="76694AF3" w14:textId="24D14014" w:rsidR="004E00E2" w:rsidRDefault="004E00E2" w:rsidP="004E00E2">
      <w:r>
        <w:t>The GruPol database</w:t>
      </w:r>
      <w:r w:rsidR="009E0A0A">
        <w:t xml:space="preserve"> </w:t>
      </w:r>
      <w:r>
        <w:t>is a computational tool developed to predict electrostatic and optoelectronic properties of biomolecules by exploiting the transferability of polarizability tensors derived from quantum chemical calculations.</w:t>
      </w:r>
      <w:r w:rsidR="009E0A0A">
        <w:t>[1]</w:t>
      </w:r>
      <w:r>
        <w:t xml:space="preserve"> Built using the distributed polarizabilities approach implemented in the PolaBer software,</w:t>
      </w:r>
      <w:r w:rsidR="009E0A0A">
        <w:t>[2]</w:t>
      </w:r>
      <w:r>
        <w:t xml:space="preserve"> GruPol assigns polarizability tensors to functional groups, enabling efficient construction of full-molecule properties from transferable components.</w:t>
      </w:r>
    </w:p>
    <w:p w14:paraId="6CE18E2F" w14:textId="1E11A477" w:rsidR="004E00E2" w:rsidRDefault="004E00E2" w:rsidP="004E00E2">
      <w:r>
        <w:t xml:space="preserve">In this contribution, we focus on demonstrating the capabilities of GruPol in </w:t>
      </w:r>
      <w:r w:rsidR="009E0A0A">
        <w:t>modelling</w:t>
      </w:r>
      <w:r>
        <w:t xml:space="preserve"> </w:t>
      </w:r>
      <w:r w:rsidR="00376593">
        <w:t xml:space="preserve">various </w:t>
      </w:r>
      <w:r>
        <w:t>responsive properties</w:t>
      </w:r>
      <w:r w:rsidR="00376593">
        <w:t xml:space="preserve"> relevant for accurate modelling of biomolecules </w:t>
      </w:r>
      <w:r w:rsidR="00376593">
        <w:t>(Fig.1)</w:t>
      </w:r>
      <w:r>
        <w:t xml:space="preserve">. Specifically, we </w:t>
      </w:r>
      <w:r w:rsidR="009E0A0A">
        <w:t>will present</w:t>
      </w:r>
      <w:r>
        <w:t xml:space="preserve"> its performance in reproducing dipole moments, electrostatic potentials (ESP), and polarizabilities of peptides and proteins under varying conditions such as pH changes, solvation effects, and ionic environments.</w:t>
      </w:r>
      <w:r w:rsidR="009E0A0A">
        <w:t>[3</w:t>
      </w:r>
      <w:r w:rsidR="009F66AB">
        <w:t>,</w:t>
      </w:r>
      <w:r w:rsidR="009E0A0A">
        <w:t>4].</w:t>
      </w:r>
      <w:r>
        <w:t xml:space="preserve"> </w:t>
      </w:r>
      <w:r w:rsidR="009E0A0A">
        <w:t>Present c</w:t>
      </w:r>
      <w:r>
        <w:t xml:space="preserve">ase studies </w:t>
      </w:r>
      <w:r w:rsidR="009E0A0A">
        <w:t xml:space="preserve">will </w:t>
      </w:r>
      <w:r>
        <w:t>includ</w:t>
      </w:r>
      <w:r w:rsidR="009E0A0A">
        <w:t>e various well-known proteins, such as</w:t>
      </w:r>
      <w:r>
        <w:t xml:space="preserve"> insulin </w:t>
      </w:r>
      <w:r w:rsidR="009E0A0A">
        <w:t>or</w:t>
      </w:r>
      <w:r>
        <w:t xml:space="preserve"> myoglobin, where the GruPol-based predictions align well with full quantum mechanical references. </w:t>
      </w:r>
      <w:r w:rsidR="009E0A0A">
        <w:t>Our r</w:t>
      </w:r>
      <w:r>
        <w:t>esults show that the database-based approach can effectively capture s</w:t>
      </w:r>
      <w:r w:rsidR="009E0A0A">
        <w:t>ubtle changes</w:t>
      </w:r>
      <w:r>
        <w:t xml:space="preserve"> in electrostatic properties caused by protonation states or ionic surroundings</w:t>
      </w:r>
      <w:r w:rsidR="009E0A0A">
        <w:t xml:space="preserve">, </w:t>
      </w:r>
      <w:r>
        <w:t>emphasizing its utility for fast yet accurate screening of complex biomolecular systems.</w:t>
      </w:r>
    </w:p>
    <w:p w14:paraId="747825A3" w14:textId="77777777" w:rsidR="00051081" w:rsidRDefault="00051081" w:rsidP="004E00E2"/>
    <w:p w14:paraId="436A6492" w14:textId="6A5FB5EB" w:rsidR="00051081" w:rsidRDefault="00051081" w:rsidP="004E00E2">
      <w:r>
        <w:rPr>
          <w:noProof/>
        </w:rPr>
        <w:drawing>
          <wp:inline distT="0" distB="0" distL="0" distR="0" wp14:anchorId="74D2E6E3" wp14:editId="140C2171">
            <wp:extent cx="6858000" cy="1807845"/>
            <wp:effectExtent l="0" t="0" r="0" b="1905"/>
            <wp:docPr id="1481124862" name="Picture 3" descr="A close-up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24862" name="Picture 3" descr="A close-up of a diagra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7847" w14:textId="7D898047" w:rsidR="00051081" w:rsidRDefault="00051081" w:rsidP="00051081">
      <w:pPr>
        <w:jc w:val="center"/>
      </w:pPr>
      <w:r w:rsidRPr="00051081">
        <w:rPr>
          <w:b/>
          <w:bCs/>
        </w:rPr>
        <w:t>Fig</w:t>
      </w:r>
      <w:r>
        <w:rPr>
          <w:b/>
          <w:bCs/>
        </w:rPr>
        <w:t>ure</w:t>
      </w:r>
      <w:r w:rsidRPr="00051081">
        <w:rPr>
          <w:b/>
          <w:bCs/>
        </w:rPr>
        <w:t xml:space="preserve"> 1</w:t>
      </w:r>
      <w:r>
        <w:t xml:space="preserve"> Functionalities of GruPol database: (a) electrostatic potential prediction, (b) dipole moment estimation, (c) pH dependence, and (d) salt effects modelling.</w:t>
      </w:r>
    </w:p>
    <w:p w14:paraId="1300FE2B" w14:textId="3401A0A5" w:rsidR="00447960" w:rsidRDefault="00E467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84E0C" wp14:editId="7EC6FB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EF7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</w:p>
    <w:p w14:paraId="6584372A" w14:textId="04F6FE65" w:rsidR="00447960" w:rsidRPr="009F66AB" w:rsidRDefault="0009043A">
      <w:pPr>
        <w:pStyle w:val="Heading4"/>
      </w:pPr>
      <w:r w:rsidRPr="009F66AB">
        <w:t xml:space="preserve">[1] </w:t>
      </w:r>
      <w:r w:rsidR="009F66AB" w:rsidRPr="009F66AB">
        <w:t xml:space="preserve">Ligorio, R.F., Grosskopf, P., Dos Santos, L.H.R. &amp; Krawczuk, A. </w:t>
      </w:r>
      <w:r w:rsidR="009F66AB">
        <w:t xml:space="preserve">(2024) </w:t>
      </w:r>
      <w:r w:rsidR="009F66AB" w:rsidRPr="009F66AB">
        <w:rPr>
          <w:i/>
          <w:iCs/>
        </w:rPr>
        <w:t>J. P</w:t>
      </w:r>
      <w:r w:rsidR="009F66AB">
        <w:rPr>
          <w:i/>
          <w:iCs/>
        </w:rPr>
        <w:t xml:space="preserve">hys. Chem. B, </w:t>
      </w:r>
      <w:r w:rsidR="009F66AB" w:rsidRPr="009F66AB">
        <w:t>128</w:t>
      </w:r>
      <w:r w:rsidR="009F66AB">
        <w:t xml:space="preserve">, 7954. </w:t>
      </w:r>
    </w:p>
    <w:p w14:paraId="1C453395" w14:textId="3826DD2C" w:rsidR="00447960" w:rsidRPr="009F66AB" w:rsidRDefault="0009043A">
      <w:pPr>
        <w:pStyle w:val="Heading4"/>
      </w:pPr>
      <w:r w:rsidRPr="009F66AB">
        <w:t xml:space="preserve">[2] </w:t>
      </w:r>
      <w:r w:rsidR="009F66AB" w:rsidRPr="009F66AB">
        <w:t xml:space="preserve">Krawczuk, A., Perez, D. &amp; Macchi, P. (2015) </w:t>
      </w:r>
      <w:r w:rsidR="009F66AB" w:rsidRPr="009F66AB">
        <w:rPr>
          <w:i/>
          <w:iCs/>
        </w:rPr>
        <w:t>J. Appl. C</w:t>
      </w:r>
      <w:r w:rsidR="009F66AB">
        <w:rPr>
          <w:i/>
          <w:iCs/>
        </w:rPr>
        <w:t xml:space="preserve">ryst. </w:t>
      </w:r>
      <w:r w:rsidR="009F66AB">
        <w:t xml:space="preserve">47, 1452. </w:t>
      </w:r>
    </w:p>
    <w:p w14:paraId="25D88F22" w14:textId="075D2568" w:rsidR="00447960" w:rsidRDefault="0009043A">
      <w:pPr>
        <w:pStyle w:val="Heading4"/>
      </w:pPr>
      <w:r w:rsidRPr="009F66AB">
        <w:rPr>
          <w:lang w:val="es-ES"/>
        </w:rPr>
        <w:t>[3]</w:t>
      </w:r>
      <w:r w:rsidR="009F66AB" w:rsidRPr="009F66AB">
        <w:rPr>
          <w:lang w:val="es-ES"/>
        </w:rPr>
        <w:t xml:space="preserve"> </w:t>
      </w:r>
      <w:r w:rsidR="009F66AB" w:rsidRPr="009F66AB">
        <w:rPr>
          <w:lang w:val="es-ES"/>
        </w:rPr>
        <w:t>Ligorio, R.F.</w:t>
      </w:r>
      <w:r w:rsidR="009F66AB" w:rsidRPr="009F66AB">
        <w:rPr>
          <w:lang w:val="es-ES"/>
        </w:rPr>
        <w:t xml:space="preserve">, </w:t>
      </w:r>
      <w:r w:rsidR="009F66AB" w:rsidRPr="009F66AB">
        <w:rPr>
          <w:lang w:val="es-ES"/>
        </w:rPr>
        <w:t>Rodrigues, J.L.</w:t>
      </w:r>
      <w:r w:rsidR="009F66AB" w:rsidRPr="009F66AB">
        <w:rPr>
          <w:lang w:val="es-ES"/>
        </w:rPr>
        <w:t xml:space="preserve">, </w:t>
      </w:r>
      <w:r w:rsidR="009F66AB" w:rsidRPr="009F66AB">
        <w:rPr>
          <w:lang w:val="es-ES"/>
        </w:rPr>
        <w:t>Zuev, A.</w:t>
      </w:r>
      <w:r w:rsidR="009F66AB">
        <w:rPr>
          <w:lang w:val="es-ES"/>
        </w:rPr>
        <w:t>,</w:t>
      </w:r>
      <w:r w:rsidR="009F66AB" w:rsidRPr="009F66AB">
        <w:rPr>
          <w:lang w:val="es-ES"/>
        </w:rPr>
        <w:t xml:space="preserve"> Dos Santos, L.H.R.</w:t>
      </w:r>
      <w:r w:rsidR="009F66AB">
        <w:rPr>
          <w:lang w:val="es-ES"/>
        </w:rPr>
        <w:t xml:space="preserve"> &amp;</w:t>
      </w:r>
      <w:r w:rsidR="009F66AB" w:rsidRPr="009F66AB">
        <w:rPr>
          <w:lang w:val="es-ES"/>
        </w:rPr>
        <w:t xml:space="preserve"> Krawczuk</w:t>
      </w:r>
      <w:r w:rsidR="009F66AB">
        <w:rPr>
          <w:lang w:val="es-ES"/>
        </w:rPr>
        <w:t xml:space="preserve">, </w:t>
      </w:r>
      <w:r w:rsidR="009F66AB" w:rsidRPr="009F66AB">
        <w:rPr>
          <w:lang w:val="es-ES"/>
        </w:rPr>
        <w:t>A.</w:t>
      </w:r>
      <w:r w:rsidR="009F66AB">
        <w:rPr>
          <w:lang w:val="es-ES"/>
        </w:rPr>
        <w:t xml:space="preserve"> (2022)</w:t>
      </w:r>
      <w:r w:rsidR="009F66AB" w:rsidRPr="009F66AB">
        <w:rPr>
          <w:lang w:val="es-ES"/>
        </w:rPr>
        <w:t xml:space="preserve"> </w:t>
      </w:r>
      <w:r w:rsidR="009F66AB" w:rsidRPr="009F66AB">
        <w:rPr>
          <w:i/>
          <w:iCs/>
          <w:lang w:val="es-ES"/>
        </w:rPr>
        <w:t xml:space="preserve">Phys. </w:t>
      </w:r>
      <w:r w:rsidR="009F66AB" w:rsidRPr="009F66AB">
        <w:rPr>
          <w:i/>
          <w:iCs/>
        </w:rPr>
        <w:t>Chem. Chem. Phys.</w:t>
      </w:r>
      <w:r w:rsidR="009F66AB">
        <w:t xml:space="preserve"> </w:t>
      </w:r>
      <w:r w:rsidR="009F66AB" w:rsidRPr="009F66AB">
        <w:t>24, 29495</w:t>
      </w:r>
      <w:r w:rsidR="009F66AB">
        <w:t>.</w:t>
      </w:r>
    </w:p>
    <w:p w14:paraId="7FF7C112" w14:textId="5709C5B6" w:rsidR="00447960" w:rsidRPr="009F66AB" w:rsidRDefault="0009043A">
      <w:pPr>
        <w:pStyle w:val="Heading4"/>
      </w:pPr>
      <w:r w:rsidRPr="009F66AB">
        <w:t xml:space="preserve">[4] </w:t>
      </w:r>
      <w:r w:rsidR="009F66AB" w:rsidRPr="009F66AB">
        <w:t>Ligorio</w:t>
      </w:r>
      <w:r w:rsidRPr="009F66AB">
        <w:t xml:space="preserve">, </w:t>
      </w:r>
      <w:r w:rsidR="009F66AB" w:rsidRPr="009F66AB">
        <w:t>R.F., Gehle, R.H.M., Dos Santos, L.H.R.</w:t>
      </w:r>
      <w:r w:rsidRPr="009F66AB">
        <w:t xml:space="preserve"> </w:t>
      </w:r>
      <w:r w:rsidR="009F66AB" w:rsidRPr="009F66AB">
        <w:t xml:space="preserve">&amp; Krawczuk, A. </w:t>
      </w:r>
      <w:r w:rsidRPr="009F66AB">
        <w:t>(20</w:t>
      </w:r>
      <w:r w:rsidR="009F66AB" w:rsidRPr="009F66AB">
        <w:t>25</w:t>
      </w:r>
      <w:r w:rsidRPr="009F66AB">
        <w:t>)</w:t>
      </w:r>
      <w:r w:rsidR="009F66AB" w:rsidRPr="009F66AB">
        <w:t xml:space="preserve"> </w:t>
      </w:r>
      <w:r w:rsidR="009F66AB" w:rsidRPr="009F66AB">
        <w:rPr>
          <w:i/>
          <w:iCs/>
        </w:rPr>
        <w:t>Acta Cry</w:t>
      </w:r>
      <w:r w:rsidR="009F66AB">
        <w:rPr>
          <w:i/>
          <w:iCs/>
        </w:rPr>
        <w:t>st. B</w:t>
      </w:r>
      <w:r w:rsidR="009F66AB">
        <w:t xml:space="preserve">, 81, 192. </w:t>
      </w:r>
    </w:p>
    <w:sectPr w:rsidR="00447960" w:rsidRPr="009F66AB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DF706" w14:textId="77777777" w:rsidR="00500490" w:rsidRDefault="00500490">
      <w:pPr>
        <w:spacing w:after="0"/>
      </w:pPr>
      <w:r>
        <w:separator/>
      </w:r>
    </w:p>
  </w:endnote>
  <w:endnote w:type="continuationSeparator" w:id="0">
    <w:p w14:paraId="6B086A0A" w14:textId="77777777" w:rsidR="00500490" w:rsidRDefault="00500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DF6F" w14:textId="77777777" w:rsidR="00447960" w:rsidRDefault="0009043A">
    <w:pPr>
      <w:pStyle w:val="Footer"/>
    </w:pPr>
    <w:r>
      <w:t>Acta Cryst. (2025). A81, e1</w:t>
    </w:r>
  </w:p>
  <w:p w14:paraId="30D96C95" w14:textId="77777777" w:rsidR="00447960" w:rsidRDefault="0044796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471A" w14:textId="77777777" w:rsidR="00500490" w:rsidRDefault="00500490">
      <w:pPr>
        <w:spacing w:after="0"/>
      </w:pPr>
      <w:r>
        <w:separator/>
      </w:r>
    </w:p>
  </w:footnote>
  <w:footnote w:type="continuationSeparator" w:id="0">
    <w:p w14:paraId="701E8D0E" w14:textId="77777777" w:rsidR="00500490" w:rsidRDefault="00500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75A3" w14:textId="77777777" w:rsidR="00447960" w:rsidRDefault="0009043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60"/>
    <w:rsid w:val="00051081"/>
    <w:rsid w:val="0009043A"/>
    <w:rsid w:val="00376593"/>
    <w:rsid w:val="00447960"/>
    <w:rsid w:val="004E00E2"/>
    <w:rsid w:val="00500490"/>
    <w:rsid w:val="006E68B0"/>
    <w:rsid w:val="009E0A0A"/>
    <w:rsid w:val="009F66AB"/>
    <w:rsid w:val="00E4674B"/>
    <w:rsid w:val="00F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627B"/>
  <w15:docId w15:val="{EE658EED-5902-4857-9C46-E7C7FA6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CapsExpanded">
    <w:name w:val="Color Caps Expanded"/>
    <w:basedOn w:val="DefaultParagraphFont"/>
    <w:uiPriority w:val="1"/>
    <w:qFormat/>
    <w:rsid w:val="009F66AB"/>
    <w:rPr>
      <w:b/>
      <w:caps/>
      <w:color w:val="833C0B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95240-EEC9-4ABF-B343-B1EB2717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Krawczuk, Anna</cp:lastModifiedBy>
  <cp:revision>5</cp:revision>
  <cp:lastPrinted>2025-05-08T19:40:00Z</cp:lastPrinted>
  <dcterms:created xsi:type="dcterms:W3CDTF">2025-05-02T13:04:00Z</dcterms:created>
  <dcterms:modified xsi:type="dcterms:W3CDTF">2025-05-08T19:55:00Z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