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42D9" w:rsidRDefault="002C48D9">
      <w:pPr>
        <w:pStyle w:val="Titre1"/>
      </w:pPr>
      <w:r>
        <w:t>The nucleating agent</w:t>
      </w:r>
      <w:r w:rsidR="009B5063">
        <w:t>s</w:t>
      </w:r>
      <w:r>
        <w:t xml:space="preserve">, </w:t>
      </w:r>
      <w:proofErr w:type="spellStart"/>
      <w:r>
        <w:t>crystallophore</w:t>
      </w:r>
      <w:r w:rsidR="009B5063">
        <w:t>s</w:t>
      </w:r>
      <w:proofErr w:type="spellEnd"/>
      <w:r>
        <w:t>, to boost your crystal production</w:t>
      </w:r>
      <w:r w:rsidR="009B5063">
        <w:t>.</w:t>
      </w:r>
      <w:r w:rsidR="00000000">
        <w:t xml:space="preserve"> </w:t>
      </w:r>
    </w:p>
    <w:p w:rsidR="008F42D9" w:rsidRDefault="00A12856">
      <w:pPr>
        <w:pStyle w:val="Titre2"/>
      </w:pPr>
      <w:r>
        <w:t>E</w:t>
      </w:r>
      <w:r w:rsidR="00000000">
        <w:t xml:space="preserve">. </w:t>
      </w:r>
      <w:r>
        <w:t>Girard</w:t>
      </w:r>
      <w:r w:rsidR="00000000">
        <w:rPr>
          <w:vertAlign w:val="superscript"/>
        </w:rPr>
        <w:t>1</w:t>
      </w:r>
      <w:r w:rsidR="00000000">
        <w:t xml:space="preserve">, </w:t>
      </w:r>
      <w:r>
        <w:t>A</w:t>
      </w:r>
      <w:r w:rsidR="00000000">
        <w:t xml:space="preserve">. </w:t>
      </w:r>
      <w:r>
        <w:t>Roux</w:t>
      </w:r>
      <w:r>
        <w:rPr>
          <w:vertAlign w:val="superscript"/>
        </w:rPr>
        <w:t>2</w:t>
      </w:r>
      <w:r w:rsidR="00000000">
        <w:t xml:space="preserve">, </w:t>
      </w:r>
      <w:r>
        <w:t>N.</w:t>
      </w:r>
      <w:r w:rsidR="00000000">
        <w:t xml:space="preserve"> </w:t>
      </w:r>
      <w:r>
        <w:t>Gillet</w:t>
      </w:r>
      <w:r w:rsidR="00000000">
        <w:rPr>
          <w:vertAlign w:val="superscript"/>
        </w:rPr>
        <w:t>2</w:t>
      </w:r>
      <w:r>
        <w:t>, O. Maury</w:t>
      </w:r>
      <w:r>
        <w:rPr>
          <w:vertAlign w:val="superscript"/>
        </w:rPr>
        <w:t>2</w:t>
      </w:r>
      <w:r w:rsidR="00000000">
        <w:t xml:space="preserve"> </w:t>
      </w:r>
    </w:p>
    <w:p w:rsidR="008F42D9" w:rsidRPr="009B5063" w:rsidRDefault="009B5063">
      <w:pPr>
        <w:pStyle w:val="Titre3"/>
        <w:rPr>
          <w:lang w:val="fr-FR"/>
        </w:rPr>
      </w:pPr>
      <w:r w:rsidRPr="009B5063">
        <w:rPr>
          <w:vertAlign w:val="superscript"/>
          <w:lang w:val="en-US"/>
        </w:rPr>
        <w:t>1</w:t>
      </w:r>
      <w:r w:rsidRPr="009B5063">
        <w:rPr>
          <w:lang w:val="en-US"/>
        </w:rPr>
        <w:t xml:space="preserve">Univ. </w:t>
      </w:r>
      <w:r w:rsidRPr="009B5063">
        <w:rPr>
          <w:lang w:val="fr-FR"/>
        </w:rPr>
        <w:t>Grenoble Alpes, CEA, CNRS, IBS, F-38000 Grenoble, France</w:t>
      </w:r>
      <w:r w:rsidR="00000000" w:rsidRPr="009B5063">
        <w:rPr>
          <w:lang w:val="fr-FR"/>
        </w:rPr>
        <w:t xml:space="preserve">, </w:t>
      </w:r>
      <w:r>
        <w:rPr>
          <w:vertAlign w:val="superscript"/>
          <w:lang w:val="fr-FR"/>
        </w:rPr>
        <w:t>3</w:t>
      </w:r>
      <w:r w:rsidRPr="00F84C0F">
        <w:rPr>
          <w:lang w:val="fr-FR"/>
        </w:rPr>
        <w:t>Univ</w:t>
      </w:r>
      <w:r>
        <w:rPr>
          <w:lang w:val="fr-FR"/>
        </w:rPr>
        <w:t>.</w:t>
      </w:r>
      <w:r w:rsidRPr="00F84C0F">
        <w:rPr>
          <w:lang w:val="fr-FR"/>
        </w:rPr>
        <w:t xml:space="preserve"> Lyon, ENS de Lyon, CNRS UMR 5182, Université Claude Bernard Lyon 1, Laboratoire de Chimie, F-69342 Lyon, France</w:t>
      </w:r>
    </w:p>
    <w:p w:rsidR="008F42D9" w:rsidRDefault="009B5063">
      <w:pPr>
        <w:pStyle w:val="Titre3"/>
        <w:rPr>
          <w:sz w:val="18"/>
          <w:szCs w:val="18"/>
        </w:rPr>
      </w:pPr>
      <w:r>
        <w:t>eric.girard@ibs.fr</w:t>
      </w:r>
      <w:r w:rsidR="00000000">
        <w:rPr>
          <w:lang w:eastAsia="de-DE"/>
        </w:rPr>
        <w:br/>
      </w:r>
    </w:p>
    <w:p w:rsidR="00692ADA" w:rsidRDefault="002C48D9">
      <w:pPr>
        <w:rPr>
          <w:lang w:val="en-US"/>
        </w:rPr>
      </w:pPr>
      <w:r>
        <w:t xml:space="preserve">The </w:t>
      </w:r>
      <w:proofErr w:type="spellStart"/>
      <w:r>
        <w:t>crystallophore</w:t>
      </w:r>
      <w:proofErr w:type="spellEnd"/>
      <w:r>
        <w:t xml:space="preserve"> is a lanthanide complex combining </w:t>
      </w:r>
      <w:r w:rsidR="00760761">
        <w:t>phasing and nucleating properties</w:t>
      </w:r>
      <w:r w:rsidR="009B5063">
        <w:t xml:space="preserve"> </w:t>
      </w:r>
      <w:r w:rsidR="009B5063">
        <w:fldChar w:fldCharType="begin"/>
      </w:r>
      <w:r w:rsidR="009B5063">
        <w:instrText xml:space="preserve"> ADDIN ZOTERO_ITEM CSL_CITATION {"citationID":"Rbb7dcCl","properties":{"formattedCitation":"\\super [1]\\nosupersub{}","plainCitation":"[1]","noteIndex":0},"citationItems":[{"id":1195,"uris":["http://zotero.org/users/local/6EsTNbBy/items/8WCAP8D7"],"itemData":{"id":1195,"type":"article-journal","abstract":"Macromolecular crystallography suffers from two major issues: getting well-diffracting crystals and solving the phase problem inherent to large macromolecules. Here, we describe the first example of a lanthanide complex family named “crystallophore” (Xo4), which contributes to tackling both bottlenecks. This terbium complex, Tb–Xo4, is an appealing agent for biocrystallography, combining the exceptional phasing power of the Tb(III) heavy atom with powerful nucleating properties, providing ready-to-use crystals for structure determination. Furthermore, protein/Tb–Xo4 co-crystals can be easily detected and discriminated from other crystalline by-products using luminescence. We demonstrate the potential of this additive for the crystallisation and structure determination of eight proteins, two of whose structures were unknown.","container-title":"Chemical Science","DOI":"10.1039/C7SC00758B","ISSN":"2041-6539","issue":"9","journalAbbreviation":"Chem. Sci.","language":"en","note":"publisher: The Royal Society of Chemistry","page":"5909-5917","source":"pubs.rsc.org","title":"Crystallophore: a versatile lanthanide complex for protein crystallography combining nucleating effects, phasing properties, and luminescence","title-short":"Crystallophore","volume":"8","author":[{"family":"Engilberge","given":"Sylvain"},{"family":"Riobé","given":"François"},{"family":"Pietro","given":"Sebastiano Di"},{"family":"Lassalle","given":"Louise"},{"family":"Coquelle","given":"Nicolas"},{"family":"Arnaud","given":"Charles-Adrien"},{"family":"Pitrat","given":"Delphine"},{"family":"Mulatier","given":"Jean-Christophe"},{"family":"Madern","given":"Dominique"},{"family":"Breyton","given":"Cécile"},{"family":"Maury","given":"Olivier"},{"family":"Girard","given":"Eric"}],"issued":{"date-parts":[["2017",8,21]]}}}],"schema":"https://github.com/citation-style-language/schema/raw/master/csl-citation.json"} </w:instrText>
      </w:r>
      <w:r w:rsidR="009B5063">
        <w:fldChar w:fldCharType="separate"/>
      </w:r>
      <w:r w:rsidR="009B5063" w:rsidRPr="009B5063">
        <w:rPr>
          <w:szCs w:val="24"/>
          <w:vertAlign w:val="superscript"/>
          <w:lang w:val="en-US" w:eastAsia="en-GB"/>
        </w:rPr>
        <w:t>[1]</w:t>
      </w:r>
      <w:r w:rsidR="009B5063">
        <w:fldChar w:fldCharType="end"/>
      </w:r>
      <w:r w:rsidR="00760761">
        <w:t xml:space="preserve">, successfully exploited </w:t>
      </w:r>
      <w:r w:rsidR="00250DA5">
        <w:t>to produce</w:t>
      </w:r>
      <w:r w:rsidR="00250DA5" w:rsidRPr="00250DA5">
        <w:t xml:space="preserve"> crystalline forms </w:t>
      </w:r>
      <w:r w:rsidR="00250DA5">
        <w:t>free of</w:t>
      </w:r>
      <w:r w:rsidR="00250DA5" w:rsidRPr="00250DA5">
        <w:t xml:space="preserve"> crystal defects often encountered by crystallographers such as low-resolution diffracting samples or crystals with twinning</w:t>
      </w:r>
      <w:r w:rsidR="00250DA5">
        <w:t xml:space="preserve"> </w:t>
      </w:r>
      <w:r w:rsidR="009B5063">
        <w:fldChar w:fldCharType="begin"/>
      </w:r>
      <w:r w:rsidR="009B5063">
        <w:instrText xml:space="preserve"> ADDIN ZOTERO_ITEM CSL_CITATION {"citationID":"iobImusT","properties":{"formattedCitation":"\\super [2]\\nosupersub{}","plainCitation":"[2]","noteIndex":0},"citationItems":[{"id":1150,"uris":["http://zotero.org/users/local/6EsTNbBy/items/NH5AKD9M"],"itemData":{"id":1150,"type":"article-journal","abstract":"The unique nucleating and phasing capabilities of the crystallophore, Tb-Xo4, are illustrated through challenging cases., Obtaining crystals and solving the phase problem remain major hurdles encountered by bio-crystallographers in their race to obtain new high-quality structures. Both issues can be overcome by the crystallophore, Tb-Xo4, a lanthanide-based molecular complex with unique nucleating and phasing properties. This article presents examples of new crystallization conditions induced by the presence of Tb-Xo4. These new crystalline forms bypass crystal defects often encountered by crystallographers, such as low-resolution diffracting samples or crystals with twinning. Thanks to Tb-Xo4’s high phasing power, the structure determination process is greatly facilitated and can be extended to serial crystallography approaches.","container-title":"Journal of Applied Crystallography","DOI":"10.1107/S1600576719006381","ISSN":"0021-8898","issue":"Pt 4","journalAbbreviation":"J Appl Crystallogr","note":"PMID: 31396026\nPMCID: PMC6662991","page":"722-731","source":"PubMed Central","title":"Protein crystal structure determination with the crystallophore, a nucleating and phasing agent","volume":"52","author":[{"family":"Engilberge","given":"Sylvain"},{"family":"Wagner","given":"Tristan"},{"family":"Santoni","given":"Gianluca"},{"family":"Breyton","given":"Cécile"},{"family":"Shima","given":"Seigo"},{"family":"Franzetti","given":"Bruno"},{"family":"Riobé","given":"Francois"},{"family":"Maury","given":"Olivier"},{"family":"Girard","given":"Eric"}],"issued":{"date-parts":[["2019",6,28]]}}}],"schema":"https://github.com/citation-style-language/schema/raw/master/csl-citation.json"} </w:instrText>
      </w:r>
      <w:r w:rsidR="009B5063">
        <w:fldChar w:fldCharType="separate"/>
      </w:r>
      <w:r w:rsidR="009B5063" w:rsidRPr="009B5063">
        <w:rPr>
          <w:szCs w:val="24"/>
          <w:vertAlign w:val="superscript"/>
          <w:lang w:val="en-US" w:eastAsia="en-GB"/>
        </w:rPr>
        <w:t>[2]</w:t>
      </w:r>
      <w:r w:rsidR="009B5063">
        <w:fldChar w:fldCharType="end"/>
      </w:r>
      <w:r w:rsidR="00250DA5">
        <w:t xml:space="preserve">, to generate </w:t>
      </w:r>
      <w:r w:rsidR="00250DA5">
        <w:rPr>
          <w:lang w:val="en-US"/>
        </w:rPr>
        <w:t>crystals can from enriched fractions containing several proteins</w:t>
      </w:r>
      <w:r w:rsidR="009B5063">
        <w:rPr>
          <w:lang w:val="en-US"/>
        </w:rPr>
        <w:t xml:space="preserve"> </w:t>
      </w:r>
      <w:r w:rsidR="009B5063">
        <w:rPr>
          <w:lang w:val="en-US"/>
        </w:rPr>
        <w:fldChar w:fldCharType="begin"/>
      </w:r>
      <w:r w:rsidR="009B5063">
        <w:rPr>
          <w:lang w:val="en-US"/>
        </w:rPr>
        <w:instrText xml:space="preserve"> ADDIN ZOTERO_ITEM CSL_CITATION {"citationID":"wzK6vNZG","properties":{"formattedCitation":"\\super [2]\\nosupersub{}","plainCitation":"[2]","noteIndex":0},"citationItems":[{"id":1150,"uris":["http://zotero.org/users/local/6EsTNbBy/items/NH5AKD9M"],"itemData":{"id":1150,"type":"article-journal","abstract":"The unique nucleating and phasing capabilities of the crystallophore, Tb-Xo4, are illustrated through challenging cases., Obtaining crystals and solving the phase problem remain major hurdles encountered by bio-crystallographers in their race to obtain new high-quality structures. Both issues can be overcome by the crystallophore, Tb-Xo4, a lanthanide-based molecular complex with unique nucleating and phasing properties. This article presents examples of new crystallization conditions induced by the presence of Tb-Xo4. These new crystalline forms bypass crystal defects often encountered by crystallographers, such as low-resolution diffracting samples or crystals with twinning. Thanks to Tb-Xo4’s high phasing power, the structure determination process is greatly facilitated and can be extended to serial crystallography approaches.","container-title":"Journal of Applied Crystallography","DOI":"10.1107/S1600576719006381","ISSN":"0021-8898","issue":"Pt 4","journalAbbreviation":"J Appl Crystallogr","note":"PMID: 31396026\nPMCID: PMC6662991","page":"722-731","source":"PubMed Central","title":"Protein crystal structure determination with the crystallophore, a nucleating and phasing agent","volume":"52","author":[{"family":"Engilberge","given":"Sylvain"},{"family":"Wagner","given":"Tristan"},{"family":"Santoni","given":"Gianluca"},{"family":"Breyton","given":"Cécile"},{"family":"Shima","given":"Seigo"},{"family":"Franzetti","given":"Bruno"},{"family":"Riobé","given":"Francois"},{"family":"Maury","given":"Olivier"},{"family":"Girard","given":"Eric"}],"issued":{"date-parts":[["2019",6,28]]}}}],"schema":"https://github.com/citation-style-language/schema/raw/master/csl-citation.json"} </w:instrText>
      </w:r>
      <w:r w:rsidR="009B5063">
        <w:rPr>
          <w:lang w:val="en-US"/>
        </w:rPr>
        <w:fldChar w:fldCharType="separate"/>
      </w:r>
      <w:r w:rsidR="009B5063" w:rsidRPr="009B5063">
        <w:rPr>
          <w:szCs w:val="24"/>
          <w:vertAlign w:val="superscript"/>
          <w:lang w:val="en-US" w:eastAsia="en-GB"/>
        </w:rPr>
        <w:t>[2]</w:t>
      </w:r>
      <w:r w:rsidR="009B5063">
        <w:rPr>
          <w:lang w:val="en-US"/>
        </w:rPr>
        <w:fldChar w:fldCharType="end"/>
      </w:r>
      <w:r w:rsidR="00250DA5">
        <w:rPr>
          <w:lang w:val="en-US" w:eastAsia="fr-FR"/>
        </w:rPr>
        <w:t xml:space="preserve"> </w:t>
      </w:r>
      <w:r w:rsidR="00250DA5">
        <w:rPr>
          <w:lang w:val="en-US"/>
        </w:rPr>
        <w:t>leading to the structure determination of a protein complex</w:t>
      </w:r>
      <w:r w:rsidR="009B5063">
        <w:rPr>
          <w:lang w:val="en-US"/>
        </w:rPr>
        <w:t xml:space="preserve"> </w:t>
      </w:r>
      <w:r w:rsidR="009B5063">
        <w:rPr>
          <w:lang w:val="en-US"/>
        </w:rPr>
        <w:fldChar w:fldCharType="begin"/>
      </w:r>
      <w:r w:rsidR="009B5063">
        <w:rPr>
          <w:lang w:val="en-US"/>
        </w:rPr>
        <w:instrText xml:space="preserve"> ADDIN ZOTERO_ITEM CSL_CITATION {"citationID":"9Qzr1M3c","properties":{"formattedCitation":"\\super [3]\\nosupersub{}","plainCitation":"[3]","noteIndex":0},"citationItems":[{"id":1198,"uris":["http://zotero.org/users/local/6EsTNbBy/items/9Y6BJLM4"],"itemData":{"id":1198,"type":"article-journal","abstract":"Many reactions within a cell are thermodynamically unfavorable. To efficiently run some of those endergonic reactions, nature evolved intermediate-channeling enzyme complexes, in which the products of the first endergonic reactions are immediately consumed by the second exergonic reactions. Based on this concept, we studied how archaea overcome the unfavorable first reaction of isoprenoid biosynthesis—the condensation of two molecules of acetyl-CoA to acetoacetyl-CoA catalyzed by acetoacetyl-CoA thiolases (thiolases). We natively isolated an enzyme complex comprising the thiolase and 3-hydroxy-3-methylglutaryl (HMG)-CoA synthase (HMGCS) from a fast-growing methanogenic archaeon, Methanothermococcus thermolithotrophicus. HMGCS catalyzes the second reaction in the mevalonate pathway—the exergonic condensation of acetoacetyl-CoA and acetyl-CoA to HMG-CoA. The 380-kDa crystal structure revealed that both enzymes are held together by a third protein (DUF35) with so-far-unknown function. The active-site clefts of thiolase and HMGCS form a fused CoA-binding site, which allows for efficient coupling of the endergonic thiolase reaction with the exergonic HMGCS reaction. The tripartite complex is found in almost all archaeal genomes and in some bacterial ones. In addition, the DUF35 proteins are also important for polyhydroxyalkanoate (PHA) biosynthesis, most probably by functioning as a scaffold protein that connects thiolase with 3-ketoacyl-CoA reductase. This natural and highly conserved enzyme complex offers great potential to improve isoprenoid and PHA biosynthesis in biotechnologically relevant organisms.","container-title":"Proceedings of the National Academy of Sciences","DOI":"10.1073/pnas.1718649115","issue":"13","note":"publisher: Proceedings of the National Academy of Sciences","page":"3380-3385","source":"pnas.org (Atypon)","title":"Archaeal acetoacetyl-CoA thiolase/HMG-CoA synthase complex channels the intermediate via a fused CoA-binding site","volume":"115","author":[{"family":"Vögeli","given":"Bastian"},{"family":"Engilberge","given":"Sylvain"},{"family":"Girard","given":"Eric"},{"family":"Riobé","given":"François"},{"family":"Maury","given":"Olivier"},{"family":"Erb","given":"Tobias J."},{"family":"Shima","given":"Seigo"},{"family":"Wagner","given":"Tristan"}],"issued":{"date-parts":[["2018",3,27]]}}}],"schema":"https://github.com/citation-style-language/schema/raw/master/csl-citation.json"} </w:instrText>
      </w:r>
      <w:r w:rsidR="009B5063">
        <w:rPr>
          <w:lang w:val="en-US"/>
        </w:rPr>
        <w:fldChar w:fldCharType="separate"/>
      </w:r>
      <w:r w:rsidR="009B5063" w:rsidRPr="009B5063">
        <w:rPr>
          <w:szCs w:val="24"/>
          <w:vertAlign w:val="superscript"/>
          <w:lang w:val="en-US" w:eastAsia="en-GB"/>
        </w:rPr>
        <w:t>[3]</w:t>
      </w:r>
      <w:r w:rsidR="009B5063">
        <w:rPr>
          <w:lang w:val="en-US"/>
        </w:rPr>
        <w:fldChar w:fldCharType="end"/>
      </w:r>
      <w:r w:rsidR="00250DA5">
        <w:rPr>
          <w:lang w:val="en-US"/>
        </w:rPr>
        <w:t xml:space="preserve"> and to induce nucleation directly from the protein solution, as exemplified by the crystallization of hen egg white lysozyme in water </w:t>
      </w:r>
      <w:r w:rsidR="009B5063">
        <w:rPr>
          <w:lang w:val="en-US"/>
        </w:rPr>
        <w:fldChar w:fldCharType="begin"/>
      </w:r>
      <w:r w:rsidR="009B5063">
        <w:rPr>
          <w:lang w:val="en-US"/>
        </w:rPr>
        <w:instrText xml:space="preserve"> ADDIN ZOTERO_ITEM CSL_CITATION {"citationID":"pDdUil20","properties":{"formattedCitation":"\\super [4]\\nosupersub{}","plainCitation":"[4]","noteIndex":0},"citationItems":[{"id":1149,"uris":["http://zotero.org/users/local/6EsTNbBy/items/P7343PKT"],"itemData":{"id":1149,"type":"article-journal","abstract":"The reproducible preparation of well‐diffracting crystals is a prerequisite for every structural study based on crystallography. An instrument called XtalController has recently been designed that allows the monitoring of crystallization assays using dynamic light scattering and microscopy, and integrates piezo pumps to alter the composition of the mother liquor during the experiment. We have applied this technology to study the crystallization of two enzymes, the CCAadding enzyme of the psychrophilic bacterium Planococcus halocryophilus, and the lysozyme from hen egg white in the presence of a synthetic chemical nucleant. We were able to (i) detect early nucleation events and (ii) drive the crystallization system (through cycles of dissolution/crystallization) toward growth conditions yielding crystals with excellent diffraction properties. This technology opens a way to the rational production of samples for crystallography, ranging from nanocrystals for electron diffraction, microcrystals for serial or conventional X‐ray diffraction, to larger crystals for neutron diffraction.","container-title":"Crystals","DOI":"10.3390/cryst10020065","ISSN":"2073-4352","issue":"2","journalAbbreviation":"Crystals","language":"en","page":"65","source":"DOI.org (Crossref)","title":"Monitoring the Production of High Diffraction-Quality Crystals of Two Enzymes in Real Time Using In Situ Dynamic Light Scattering","volume":"10","author":[{"family":"De Wijn","given":"Raphaël"},{"family":"Rollet","given":"Kévin"},{"family":"Engilberge","given":"Sylvain"},{"family":"McEwen","given":"Alastair"},{"family":"Hennig","given":"Oliver"},{"family":"Betat","given":"Heike"},{"family":"Mörl","given":"Mario"},{"family":"Riobé","given":"François"},{"family":"Maury","given":"Olivier"},{"family":"Girard","given":"Eric"},{"family":"Bénas","given":"Philippe"},{"family":"Lorber","given":"Bernard"},{"family":"Sauter","given":"Claude"}],"issued":{"date-parts":[["2020",1,23]]}}}],"schema":"https://github.com/citation-style-language/schema/raw/master/csl-citation.json"} </w:instrText>
      </w:r>
      <w:r w:rsidR="009B5063">
        <w:rPr>
          <w:lang w:val="en-US"/>
        </w:rPr>
        <w:fldChar w:fldCharType="separate"/>
      </w:r>
      <w:r w:rsidR="009B5063" w:rsidRPr="009B5063">
        <w:rPr>
          <w:szCs w:val="24"/>
          <w:vertAlign w:val="superscript"/>
          <w:lang w:val="fr-FR" w:eastAsia="en-GB"/>
        </w:rPr>
        <w:t>[4]</w:t>
      </w:r>
      <w:r w:rsidR="009B5063">
        <w:rPr>
          <w:lang w:val="en-US"/>
        </w:rPr>
        <w:fldChar w:fldCharType="end"/>
      </w:r>
      <w:r w:rsidR="00250DA5">
        <w:rPr>
          <w:lang w:val="en-US"/>
        </w:rPr>
        <w:t>.</w:t>
      </w:r>
    </w:p>
    <w:p w:rsidR="00250DA5" w:rsidRDefault="00D9555A" w:rsidP="00D9555A">
      <w:pPr>
        <w:rPr>
          <w:lang w:val="en-US"/>
        </w:rPr>
      </w:pPr>
      <w:r>
        <w:rPr>
          <w:lang w:val="en-US"/>
        </w:rPr>
        <w:t>Time-resolved Serial Crystallography (TR-SX)</w:t>
      </w:r>
      <w:r w:rsidRPr="00374970">
        <w:rPr>
          <w:lang w:val="en-US"/>
        </w:rPr>
        <w:t xml:space="preserve"> allows to obtain structural dynamics information and observe biological macromolecules in action by capturing transient intermediates along a biological pathway.</w:t>
      </w:r>
      <w:r>
        <w:rPr>
          <w:lang w:val="en-US"/>
        </w:rPr>
        <w:t xml:space="preserve"> </w:t>
      </w:r>
      <w:r>
        <w:fldChar w:fldCharType="begin"/>
      </w:r>
      <w:r w:rsidR="009B5063">
        <w:rPr>
          <w:lang w:val="en-US"/>
        </w:rPr>
        <w:instrText xml:space="preserve"> ADDIN ZOTERO_ITEM CSL_CITATION {"citationID":"wNz1dFns","properties":{"formattedCitation":"\\super [5\\uc0\\u8211{}8]\\nosupersub{}","plainCitation":"[5–8]","noteIndex":0},"citationItems":[{"id":1291,"uris":["http://zotero.org/users/local/6EsTNbBy/items/R3R335BI"],"itemData":{"id":1291,"type":"article-journal","abstract":"The ultrabright and ultrashort pulses produced at X-ray free electron lasers (XFELs) has enabled studies of crystallized molecular machines at work under ‘native’ conditions at room temperature by the so-called time-resolved serial femtosecond crystallography (TR-SFX) technique. Since early TR-SFX experiments were conducted at XFELs, it has been largely reported in the literature that time-resolved X-ray experiments at synchrotrons are no longer feasible or are impractical due to the severe technical limitations of these radiation sources. The transfer of the serial crystallography approach to newest synchrotrons upgraded for higher flux density and with beamlines using sophisticated focusing optics, submicron beam diameters and fast low-noise photon-counting detectors offers a way to overcome these difficulties opening new and exciting possibilities. In fact, there is an increasing amount of publications reporting new findings in structural dynamics of protein macromolecules by using time resolved crystallography from microcrystals at synchrotron sources. This review gathers information to provide an overview of the recent work and the advances made in this filed in the past years, as well as outlines future perspectives at the next generation of synchrotron sources and the upcoming compact pulsed X-ray sources.","container-title":"Crystals","DOI":"10.3390/cryst11050521","ISSN":"2073-4352","issue":"5","language":"en","license":"http://creativecommons.org/licenses/by/3.0/","note":"number: 5\npublisher: Multidisciplinary Digital Publishing Institute","page":"521","source":"www.mdpi.com","title":"Protein Dynamics and Time Resolved Protein Crystallography at Synchrotron Radiation Sources: Past, Present and Future","title-short":"Protein Dynamics and Time Resolved Protein Crystallography at Synchrotron Radiation Sources","volume":"11","author":[{"family":"Martin-Garcia","given":"Jose M."}],"issued":{"date-parts":[["2021",5]]}}},{"id":1296,"uris":["http://zotero.org/users/local/6EsTNbBy/items/7SGTUFGH"],"itemData":{"id":1296,"type":"article-journal","abstract":"With the advent of X-ray Free Electron Lasers (XFELs), new, high-throughput serial crystallography techniques for macromolecular structure determination have emerged. Serial femtosecond crystallography (SFX) and related methods provide possibilities beyond canonical, single-crystal rotation crystallography by mitigating radiation damage and allowing time-resolved studies with unprecedented temporal resolution. This primer aims to assist structural biology groups with little or no experience in serial crystallography planning and carrying out a successful SFX experiment. It discusses the background of serial crystallography and its possibilities. Microcrystal growth and characterization methods are discussed, alongside techniques for sample delivery and data processing. Moreover, it gives practical tips for preparing an experiment, what to consider and do during a beamtime and how to conduct the final data analysis. Finally, the Primer looks at various applications of SFX, including structure determination of membrane proteins, investigation of radiation damage-prone systems and time-resolved studies., Serial femtosecond crystallography (SFX) is a high-throughput, serial crystallography technique for studying macromolecular crystals at an X-ray free electron laser. This Primer gives an overview of microcrystallization methods, sample delivery and data analysis for applications including membrane proteins, radiation damage-prone systems and time-resolved experiments.","container-title":"Nature reviews. Methods primers","DOI":"10.1038/s43586-022-00141-7","ISSN":"2662-8449","journalAbbreviation":"Nat Rev Methods Primers","note":"PMID: 36643971\nPMCID: PMC9833121","page":"59","source":"PubMed Central","title":"Serial femtosecond crystallography","volume":"2","author":[{"family":"Barends","given":"Thomas R.M."},{"family":"Stauch","given":"Benjamin"},{"family":"Cherezov","given":"Vadim"},{"family":"Schlichting","given":"Ilme"}],"issued":{"date-parts":[["2022",8,4]]}}},{"id":1304,"uris":["http://zotero.org/users/local/6EsTNbBy/items/TQG6245H"],"itemData":{"id":1304,"type":"article-journal","abstract":"Serial crystallography (SX) is an emerging technique that can be used to determine the noncryogenic crystal structure of macromolecules while minimizing radiation damage. Applying SX using pump-probe or mix-andinject techniques enables the observation of time-resolved molecular reactions and dynamics in macromole­ cules. After the successful demonstration of the SX experimental technique with structure determination in serial femtosecond crystallography using an X-ray free electron laser, this method was adapted to the synchrotron, leading to the development of serial synchrotron crystallography (SSX). SSX offers new opportunities for re­ searchers to leverage SX techniques, contributing to the advancement of structural biology and offering a deeper understanding of the structure and function of macromolecules. This review covers the background and ad­ vantages of SSX and its experimental approach. It also discusses important considerations when conducting SSX experiments.","container-title":"Current Research in Structural Biology","DOI":"10.1016/j.crstbi.2024.100131","ISSN":"2665928X","journalAbbreviation":"Current Research in Structural Biology","language":"en","page":"100131","source":"DOI.org (Crossref)","title":"Guide to serial synchrotron crystallography","volume":"7","author":[{"family":"Nam","given":"Ki Hyun"}],"issued":{"date-parts":[["2024"]]}}},{"id":1293,"uris":["http://zotero.org/users/local/6EsTNbBy/items/4NKYSX9T"],"itemData":{"id":1293,"type":"article-journal","abstract":"This review constitutes an overview of the current status of time-resolved crystallography performed at synchrotrons and XFELs on timescales ranging from femtoseconds to minutes. Methods, potential biases, instruments and examples are presented and compared with those for the cryo-trapping of reaction-intermediate states., Over the last decade, the development of time-resolved serial crystallography (TR-SX) at X-ray free-electron lasers (XFELs) and synchrotrons has allowed researchers to study phenomena occurring in proteins on the femtosecond-to-minute timescale, taking advantage of many technical and methodological breakthroughs. Protein crystals of various sizes are presented to the X-ray beam in either a static or a moving medium. Photoactive proteins were naturally the initial systems to be studied in TR-SX experiments using pump–probe schemes, where the pump is a pulse of visible light. Other reaction initiations through small-molecule diffusion are gaining momentum. Here, selected examples of XFEL and synchrotron time-resolved crystallography studies will be used to highlight the specificities of the various instruments and methods with respect to time resolution, and are compared with cryo-trapping studies.","container-title":"Acta Crystallographica. Section D, Structural Biology","DOI":"10.1107/S2059798323011002","ISSN":"2059-7983","issue":"Pt 2","journalAbbreviation":"Acta Crystallogr D Struct Biol","note":"PMID: 38265875\nPMCID: PMC10836399","page":"60-79","source":"PubMed Central","title":"From femtoseconds to minutes: time-resolved macromolecular crystallography at XFELs and synchrotrons","title-short":"From femtoseconds to minutes","volume":"80","author":[{"family":"Caramello","given":"Nicolas"},{"family":"Royant","given":"Antoine"}],"issued":{"date-parts":[["2024",1,24]]}}}],"schema":"https://github.com/citation-style-language/schema/raw/master/csl-citation.json"} </w:instrText>
      </w:r>
      <w:r>
        <w:fldChar w:fldCharType="separate"/>
      </w:r>
      <w:r w:rsidR="009B5063" w:rsidRPr="009B5063">
        <w:rPr>
          <w:szCs w:val="24"/>
          <w:vertAlign w:val="superscript"/>
          <w:lang w:val="en-US" w:eastAsia="en-GB"/>
        </w:rPr>
        <w:t>[5–8]</w:t>
      </w:r>
      <w:r>
        <w:fldChar w:fldCharType="end"/>
      </w:r>
      <w:r w:rsidRPr="00374970">
        <w:rPr>
          <w:lang w:val="en-US"/>
        </w:rPr>
        <w:t xml:space="preserve"> From an experimental point of view, serial crystallography brings new constraints on crystal preparation as it intrinsically requires a large amount of samples to make sure to collect a complete diffraction data set. Moreover optimal time-resolved experiments require crystalline samples with a narrow size distribution in order to ensure a uniform triggering of the reaction under study through the entire crystal volume.</w:t>
      </w:r>
    </w:p>
    <w:p w:rsidR="00B87CC8" w:rsidRDefault="00AD2175" w:rsidP="00B87CC8">
      <w:pPr>
        <w:rPr>
          <w:lang w:val="en-US"/>
        </w:rPr>
      </w:pPr>
      <w:r>
        <w:rPr>
          <w:lang w:val="en-US"/>
        </w:rPr>
        <w:t>T</w:t>
      </w:r>
      <w:r w:rsidRPr="00374970">
        <w:rPr>
          <w:lang w:val="en-US"/>
        </w:rPr>
        <w:t xml:space="preserve">he nucleating properties of the </w:t>
      </w:r>
      <w:proofErr w:type="spellStart"/>
      <w:r w:rsidRPr="00374970">
        <w:rPr>
          <w:lang w:val="en-US"/>
        </w:rPr>
        <w:t>crystallophore</w:t>
      </w:r>
      <w:proofErr w:type="spellEnd"/>
      <w:r w:rsidRPr="00374970">
        <w:rPr>
          <w:lang w:val="en-US"/>
        </w:rPr>
        <w:t xml:space="preserve"> </w:t>
      </w:r>
      <w:r>
        <w:rPr>
          <w:lang w:val="en-US"/>
        </w:rPr>
        <w:t xml:space="preserve">have been challenged </w:t>
      </w:r>
      <w:r w:rsidRPr="00374970">
        <w:rPr>
          <w:lang w:val="en-US"/>
        </w:rPr>
        <w:t xml:space="preserve">for </w:t>
      </w:r>
      <w:r>
        <w:rPr>
          <w:lang w:val="en-US"/>
        </w:rPr>
        <w:t xml:space="preserve">the </w:t>
      </w:r>
      <w:r w:rsidRPr="00374970">
        <w:rPr>
          <w:lang w:val="en-US"/>
        </w:rPr>
        <w:t>production of crystals with the appropriate size for either SX experiments or electron diffraction of 3D nanocrystals</w:t>
      </w:r>
      <w:r w:rsidR="00B87CC8">
        <w:rPr>
          <w:lang w:val="en-US"/>
        </w:rPr>
        <w:t xml:space="preserve"> </w:t>
      </w:r>
      <w:r w:rsidR="00576D99">
        <w:rPr>
          <w:lang w:val="en-US"/>
        </w:rPr>
        <w:fldChar w:fldCharType="begin"/>
      </w:r>
      <w:r w:rsidR="00576D99">
        <w:rPr>
          <w:lang w:val="en-US"/>
        </w:rPr>
        <w:instrText xml:space="preserve"> ADDIN ZOTERO_ITEM CSL_CITATION {"citationID":"8sdrlucP","properties":{"formattedCitation":"\\super [9]\\nosupersub{}","plainCitation":"[9]","noteIndex":0},"citationItems":[{"id":1471,"uris":["http://zotero.org/users/local/6EsTNbBy/items/KEHF4TJG"],"itemData":{"id":1471,"type":"article-journal","abstract":"The rapid preparation of homogeneous suspensions of micro- or nanocrystals is a crucial step in serial crystallography. We show how additives, such as the crystallophore (TbXo4) that acts as a molecular glue by promoting protein–protein interactions, can facilitate sample preparation for both serial synchrotron crystallography (SSX) and micro electron diffraction (3D ED). This lanthanide complex was used here for its nucleating properties to crystallize the hen egg-white lysozyme. SAXS monitoring indicates that crystals grew in a few minutes under low salt conditions, which would not lead to spontaneous nucleation in the absence of TbXo4. Resulting micro- and nanocrystals were successfully used to determine the structure of the lysozyme-TbXo4 complex by SSX and 3D ED, illustrating the diffraction quality of the produced crystals and the usefulness of such compounds in the sample preparation pipeline for serial crystallography.","container-title":"Crystal Growth &amp; Design","DOI":"10.1021/acs.cgd.4c00600","ISSN":"1528-7483","issue":"16","journalAbbreviation":"Crystal Growth &amp; Design","note":"publisher: American Chemical Society","page":"6682-6690","source":"ACS Publications","title":"Nucleating Agent Crystallophore Induces Instant Protein Crystallization","volume":"24","author":[{"family":"Sauter","given":"Claude"},{"family":"Housset","given":"Dominique"},{"family":"Orlans","given":"Julien"},{"family":"Wijn","given":"Raphaël","non-dropping-particle":"de"},{"family":"Rollet","given":"Kévin"},{"family":"Rose","given":"Samuel L."},{"family":"Basu","given":"Shibom"},{"family":"Bénas","given":"Philippe"},{"family":"Perez","given":"Javier"},{"family":"Sanctis","given":"Daniele","non-dropping-particle":"de"},{"family":"Maury","given":"Olivier"},{"family":"Girard","given":"Eric"}],"issued":{"date-parts":[["2024",8,21]]}}}],"schema":"https://github.com/citation-style-language/schema/raw/master/csl-citation.json"} </w:instrText>
      </w:r>
      <w:r w:rsidR="00576D99">
        <w:rPr>
          <w:lang w:val="en-US"/>
        </w:rPr>
        <w:fldChar w:fldCharType="separate"/>
      </w:r>
      <w:r w:rsidR="00576D99" w:rsidRPr="00576D99">
        <w:rPr>
          <w:szCs w:val="24"/>
          <w:vertAlign w:val="superscript"/>
          <w:lang w:val="en-US" w:eastAsia="en-GB"/>
        </w:rPr>
        <w:t>[9]</w:t>
      </w:r>
      <w:r w:rsidR="00576D99">
        <w:rPr>
          <w:lang w:val="en-US"/>
        </w:rPr>
        <w:fldChar w:fldCharType="end"/>
      </w:r>
      <w:r>
        <w:rPr>
          <w:lang w:val="en-US"/>
        </w:rPr>
        <w:t xml:space="preserve">. Moreover, these crystals were generated in </w:t>
      </w:r>
      <w:r w:rsidRPr="00374970">
        <w:rPr>
          <w:lang w:val="en-US"/>
        </w:rPr>
        <w:t>the minute</w:t>
      </w:r>
      <w:r>
        <w:rPr>
          <w:lang w:val="en-US"/>
        </w:rPr>
        <w:t xml:space="preserve"> time-</w:t>
      </w:r>
      <w:r w:rsidRPr="00374970">
        <w:rPr>
          <w:lang w:val="en-US"/>
        </w:rPr>
        <w:t>scale</w:t>
      </w:r>
      <w:r w:rsidRPr="00AD2175">
        <w:rPr>
          <w:lang w:val="en-US"/>
        </w:rPr>
        <w:t xml:space="preserve"> </w:t>
      </w:r>
      <w:r w:rsidRPr="00374970">
        <w:rPr>
          <w:lang w:val="en-US"/>
        </w:rPr>
        <w:t>open</w:t>
      </w:r>
      <w:r>
        <w:rPr>
          <w:lang w:val="en-US"/>
        </w:rPr>
        <w:t>ing</w:t>
      </w:r>
      <w:r w:rsidRPr="00374970">
        <w:rPr>
          <w:lang w:val="en-US"/>
        </w:rPr>
        <w:t xml:space="preserve"> new opportunities in TR-SX</w:t>
      </w:r>
      <w:r w:rsidR="00B87CC8">
        <w:rPr>
          <w:lang w:val="en-US"/>
        </w:rPr>
        <w:t xml:space="preserve">. We will also show the input of </w:t>
      </w:r>
      <w:proofErr w:type="spellStart"/>
      <w:r w:rsidR="00B87CC8">
        <w:rPr>
          <w:lang w:val="en-US"/>
        </w:rPr>
        <w:t>crystallophore</w:t>
      </w:r>
      <w:proofErr w:type="spellEnd"/>
      <w:r w:rsidR="00B87CC8">
        <w:rPr>
          <w:lang w:val="en-US"/>
        </w:rPr>
        <w:t xml:space="preserve"> variants bearing chemical modifications to e</w:t>
      </w:r>
      <w:r w:rsidR="00B87CC8">
        <w:rPr>
          <w:lang w:val="en-US"/>
        </w:rPr>
        <w:t>xpand the possibility to control the number and size of crystals</w:t>
      </w:r>
      <w:r w:rsidR="001866C5">
        <w:rPr>
          <w:lang w:val="en-US"/>
        </w:rPr>
        <w:t xml:space="preserve"> </w:t>
      </w:r>
      <w:r w:rsidR="001866C5">
        <w:rPr>
          <w:lang w:val="en-US"/>
        </w:rPr>
        <w:fldChar w:fldCharType="begin"/>
      </w:r>
      <w:r w:rsidR="001866C5">
        <w:rPr>
          <w:lang w:val="en-US"/>
        </w:rPr>
        <w:instrText xml:space="preserve"> ADDIN ZOTERO_ITEM CSL_CITATION {"citationID":"OWvgIj51","properties":{"formattedCitation":"\\super [10]\\nosupersub{}","plainCitation":"[10]","noteIndex":0},"citationItems":[{"id":1475,"uris":["http://zotero.org/users/local/6EsTNbBy/items/U7WTZLUI"],"itemData":{"id":1475,"type":"article-journal","abstract":"Crystallophores are lanthanide complexes that have demonstrated outstanding induction of crystallization for various proteins. This article explores the effect of tailored modifications of the crystallophore first generation and their impact on the nucleating properties and protein crystal structures. Through high-throughput crystallization experiments and dataset analysis, we evaluated the effectiveness of these variants, in comparison to the first crystallophore generation G1. In particular, the V1 variant, featuring a propanol pendant arm, demonstrated the ability to produce new crystallization conditions for the proteins tested (hen-egg white lysozyme, proteinase K and thaumatin). Structural analysis performed in the case of hen egg-white lysozyme along with Molecular Dynamics simulations, highlights V1′s unique behavior, taking advantage of the flexibility of its propanol arm to explore different protein surfaces and form versatile supramolecular interactions.","container-title":"Chemistry – A European Journal","DOI":"10.1002/chem.202400900","ISSN":"1521-3765","issue":"38","language":"en","note":"_eprint: https://onlinelibrary.wiley.com/doi/pdf/10.1002/chem.202400900","page":"e202400900","source":"Wiley Online Library","title":"Influence of Chemical Modifications of the Crystallophore on Protein Nucleating Properties and Supramolecular Interactions Network","volume":"30","author":[{"family":"Roux","given":"Amandine"},{"family":"Alsalman","given":"Zaynab"},{"family":"Jiang","given":"Tao"},{"family":"Mulatier","given":"Jean-Christophe"},{"family":"Pitrat","given":"Delphine"},{"family":"Dumont","given":"Elise"},{"family":"Riobé","given":"François"},{"family":"Gillet","given":"Natacha"},{"family":"Girard","given":"Eric"},{"family":"Maury","given":"Olivier"}],"issued":{"date-parts":[["2024"]]}}}],"schema":"https://github.com/citation-style-language/schema/raw/master/csl-citation.json"} </w:instrText>
      </w:r>
      <w:r w:rsidR="001866C5">
        <w:rPr>
          <w:lang w:val="en-US"/>
        </w:rPr>
        <w:fldChar w:fldCharType="separate"/>
      </w:r>
      <w:r w:rsidR="001866C5" w:rsidRPr="00973577">
        <w:rPr>
          <w:szCs w:val="24"/>
          <w:vertAlign w:val="superscript"/>
          <w:lang w:val="en-US" w:eastAsia="en-GB"/>
        </w:rPr>
        <w:t>[10]</w:t>
      </w:r>
      <w:r w:rsidR="001866C5">
        <w:rPr>
          <w:lang w:val="en-US"/>
        </w:rPr>
        <w:fldChar w:fldCharType="end"/>
      </w:r>
      <w:r w:rsidR="00B87CC8">
        <w:rPr>
          <w:lang w:val="en-US"/>
        </w:rPr>
        <w:t>.</w:t>
      </w:r>
      <w:r w:rsidR="00B87CC8">
        <w:rPr>
          <w:lang w:val="en-US"/>
        </w:rPr>
        <w:t xml:space="preserve"> Finally, to facilitate crystal detection, a </w:t>
      </w:r>
      <w:proofErr w:type="spellStart"/>
      <w:r w:rsidR="00B87CC8">
        <w:rPr>
          <w:lang w:val="en-US"/>
        </w:rPr>
        <w:t>crystallophore</w:t>
      </w:r>
      <w:proofErr w:type="spellEnd"/>
      <w:r w:rsidR="00B87CC8">
        <w:rPr>
          <w:lang w:val="en-US"/>
        </w:rPr>
        <w:t xml:space="preserve"> with optimized imaging property </w:t>
      </w:r>
      <w:r w:rsidR="00574F3A">
        <w:rPr>
          <w:lang w:val="en-US"/>
        </w:rPr>
        <w:t xml:space="preserve">(Fig. 1) </w:t>
      </w:r>
      <w:r w:rsidR="009B5063">
        <w:rPr>
          <w:lang w:val="en-US"/>
        </w:rPr>
        <w:t>complete</w:t>
      </w:r>
      <w:r w:rsidR="00973577">
        <w:rPr>
          <w:lang w:val="en-US"/>
        </w:rPr>
        <w:t>s</w:t>
      </w:r>
      <w:r w:rsidR="009B5063">
        <w:rPr>
          <w:lang w:val="en-US"/>
        </w:rPr>
        <w:t xml:space="preserve"> the toolbox</w:t>
      </w:r>
      <w:r w:rsidR="00576D99">
        <w:rPr>
          <w:lang w:val="en-US"/>
        </w:rPr>
        <w:t xml:space="preserve"> </w:t>
      </w:r>
      <w:r w:rsidR="00576D99" w:rsidRPr="00576D99">
        <w:rPr>
          <w:vertAlign w:val="superscript"/>
          <w:lang w:val="en-US"/>
        </w:rPr>
        <w:t>[11]</w:t>
      </w:r>
      <w:r w:rsidR="009B5063">
        <w:rPr>
          <w:lang w:val="en-US"/>
        </w:rPr>
        <w:t>.</w:t>
      </w:r>
    </w:p>
    <w:p w:rsidR="00646C5E" w:rsidRPr="00646C5E" w:rsidRDefault="00646C5E" w:rsidP="00B87CC8">
      <w:pPr>
        <w:rPr>
          <w:sz w:val="16"/>
          <w:szCs w:val="16"/>
          <w:lang w:val="en-US"/>
        </w:rPr>
      </w:pPr>
    </w:p>
    <w:p w:rsidR="00FA4188" w:rsidRDefault="00574F3A" w:rsidP="00574F3A">
      <w:pPr>
        <w:jc w:val="center"/>
      </w:pPr>
      <w:r w:rsidRPr="00574F3A">
        <w:drawing>
          <wp:inline distT="0" distB="0" distL="0" distR="0" wp14:anchorId="6F06B5C6" wp14:editId="76760BC2">
            <wp:extent cx="2691173" cy="1188958"/>
            <wp:effectExtent l="0" t="0" r="1270" b="5080"/>
            <wp:docPr id="12076753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675340" name=""/>
                    <pic:cNvPicPr/>
                  </pic:nvPicPr>
                  <pic:blipFill>
                    <a:blip r:embed="rId7"/>
                    <a:stretch>
                      <a:fillRect/>
                    </a:stretch>
                  </pic:blipFill>
                  <pic:spPr>
                    <a:xfrm>
                      <a:off x="0" y="0"/>
                      <a:ext cx="2866946" cy="1266615"/>
                    </a:xfrm>
                    <a:prstGeom prst="rect">
                      <a:avLst/>
                    </a:prstGeom>
                  </pic:spPr>
                </pic:pic>
              </a:graphicData>
            </a:graphic>
          </wp:inline>
        </w:drawing>
      </w:r>
    </w:p>
    <w:p w:rsidR="00574F3A" w:rsidRDefault="00574F3A" w:rsidP="00574F3A">
      <w:pPr>
        <w:pStyle w:val="Titre6"/>
        <w:spacing w:after="0"/>
      </w:pPr>
      <w:r>
        <w:rPr>
          <w:b/>
        </w:rPr>
        <w:t>Figure 1</w:t>
      </w:r>
      <w:r>
        <w:t xml:space="preserve">. </w:t>
      </w:r>
      <w:r w:rsidRPr="00574F3A">
        <w:t>HEWL crystal co-crystallized with TbXo4PhOMeNMe2 (1mM)</w:t>
      </w:r>
      <w:r>
        <w:t>.</w:t>
      </w:r>
      <w:r w:rsidRPr="00574F3A">
        <w:t xml:space="preserve">  </w:t>
      </w:r>
    </w:p>
    <w:p w:rsidR="00574F3A" w:rsidRDefault="00574F3A" w:rsidP="00574F3A">
      <w:pPr>
        <w:pStyle w:val="Titre6"/>
        <w:spacing w:after="0"/>
      </w:pPr>
      <w:r w:rsidRPr="00574F3A">
        <w:t>Transmission imaging (left)</w:t>
      </w:r>
      <w:r>
        <w:t xml:space="preserve"> and </w:t>
      </w:r>
      <w:r w:rsidRPr="00574F3A">
        <w:t>spectral imaging (</w:t>
      </w:r>
      <w:proofErr w:type="spellStart"/>
      <w:r w:rsidRPr="00574F3A">
        <w:t>λexcitation</w:t>
      </w:r>
      <w:proofErr w:type="spellEnd"/>
      <w:r w:rsidRPr="00574F3A">
        <w:t xml:space="preserve"> = 700 nm, </w:t>
      </w:r>
      <w:proofErr w:type="spellStart"/>
      <w:r w:rsidRPr="00574F3A">
        <w:t>Plaser</w:t>
      </w:r>
      <w:proofErr w:type="spellEnd"/>
      <w:r w:rsidRPr="00574F3A">
        <w:t>=10%) (right)</w:t>
      </w:r>
      <w:r>
        <w:t>.</w:t>
      </w:r>
    </w:p>
    <w:p w:rsidR="00574F3A" w:rsidRPr="00574F3A" w:rsidRDefault="00574F3A" w:rsidP="00B87CC8">
      <w:pPr>
        <w:rPr>
          <w:sz w:val="16"/>
          <w:szCs w:val="16"/>
        </w:rPr>
      </w:pPr>
    </w:p>
    <w:p w:rsidR="001866C5" w:rsidRPr="00FA4188" w:rsidRDefault="001866C5" w:rsidP="001866C5">
      <w:pPr>
        <w:pStyle w:val="Bibliographie"/>
        <w:rPr>
          <w:sz w:val="18"/>
          <w:szCs w:val="18"/>
          <w:lang w:eastAsia="en-GB"/>
        </w:rPr>
      </w:pPr>
      <w:r w:rsidRPr="006440A4">
        <w:rPr>
          <w:sz w:val="18"/>
          <w:szCs w:val="18"/>
          <w:lang w:val="fr-FR" w:eastAsia="cs-CZ"/>
        </w:rPr>
        <w:fldChar w:fldCharType="begin"/>
      </w:r>
      <w:r w:rsidRPr="00FA4188">
        <w:rPr>
          <w:sz w:val="18"/>
          <w:szCs w:val="18"/>
          <w:lang w:eastAsia="cs-CZ"/>
        </w:rPr>
        <w:instrText xml:space="preserve"> ADDIN ZOTERO_BIBL {"uncited":[],"omitted":[],"custom":[]} CSL_BIBLIOGRAPHY </w:instrText>
      </w:r>
      <w:r w:rsidRPr="006440A4">
        <w:rPr>
          <w:sz w:val="18"/>
          <w:szCs w:val="18"/>
          <w:lang w:val="fr-FR" w:eastAsia="cs-CZ"/>
        </w:rPr>
        <w:fldChar w:fldCharType="separate"/>
      </w:r>
      <w:r w:rsidRPr="00FA4188">
        <w:rPr>
          <w:sz w:val="18"/>
          <w:szCs w:val="18"/>
          <w:lang w:eastAsia="en-GB"/>
        </w:rPr>
        <w:t>[1]</w:t>
      </w:r>
      <w:r w:rsidRPr="00FA4188">
        <w:rPr>
          <w:sz w:val="18"/>
          <w:szCs w:val="18"/>
          <w:lang w:eastAsia="en-GB"/>
        </w:rPr>
        <w:tab/>
        <w:t xml:space="preserve">S. </w:t>
      </w:r>
      <w:proofErr w:type="spellStart"/>
      <w:r w:rsidRPr="00FA4188">
        <w:rPr>
          <w:sz w:val="18"/>
          <w:szCs w:val="18"/>
          <w:lang w:eastAsia="en-GB"/>
        </w:rPr>
        <w:t>Engilberge</w:t>
      </w:r>
      <w:proofErr w:type="spellEnd"/>
      <w:r w:rsidRPr="00FA4188">
        <w:rPr>
          <w:sz w:val="18"/>
          <w:szCs w:val="18"/>
          <w:lang w:eastAsia="en-GB"/>
        </w:rPr>
        <w:t xml:space="preserve">, F. </w:t>
      </w:r>
      <w:proofErr w:type="spellStart"/>
      <w:r w:rsidRPr="00FA4188">
        <w:rPr>
          <w:sz w:val="18"/>
          <w:szCs w:val="18"/>
          <w:lang w:eastAsia="en-GB"/>
        </w:rPr>
        <w:t>Riobé</w:t>
      </w:r>
      <w:proofErr w:type="spellEnd"/>
      <w:r w:rsidRPr="00FA4188">
        <w:rPr>
          <w:sz w:val="18"/>
          <w:szCs w:val="18"/>
          <w:lang w:eastAsia="en-GB"/>
        </w:rPr>
        <w:t xml:space="preserve">, S. D. Pietro, L. Lassalle, N. </w:t>
      </w:r>
      <w:proofErr w:type="spellStart"/>
      <w:r w:rsidRPr="00FA4188">
        <w:rPr>
          <w:sz w:val="18"/>
          <w:szCs w:val="18"/>
          <w:lang w:eastAsia="en-GB"/>
        </w:rPr>
        <w:t>Coquelle</w:t>
      </w:r>
      <w:proofErr w:type="spellEnd"/>
      <w:r w:rsidRPr="00FA4188">
        <w:rPr>
          <w:sz w:val="18"/>
          <w:szCs w:val="18"/>
          <w:lang w:eastAsia="en-GB"/>
        </w:rPr>
        <w:t xml:space="preserve">, C.-A. Arnaud, D. </w:t>
      </w:r>
      <w:proofErr w:type="spellStart"/>
      <w:r w:rsidRPr="00FA4188">
        <w:rPr>
          <w:sz w:val="18"/>
          <w:szCs w:val="18"/>
          <w:lang w:eastAsia="en-GB"/>
        </w:rPr>
        <w:t>Pitrat</w:t>
      </w:r>
      <w:proofErr w:type="spellEnd"/>
      <w:r w:rsidRPr="00FA4188">
        <w:rPr>
          <w:sz w:val="18"/>
          <w:szCs w:val="18"/>
          <w:lang w:eastAsia="en-GB"/>
        </w:rPr>
        <w:t xml:space="preserve">, J.-C. </w:t>
      </w:r>
      <w:proofErr w:type="spellStart"/>
      <w:r w:rsidRPr="00FA4188">
        <w:rPr>
          <w:sz w:val="18"/>
          <w:szCs w:val="18"/>
          <w:lang w:eastAsia="en-GB"/>
        </w:rPr>
        <w:t>Mulatier</w:t>
      </w:r>
      <w:proofErr w:type="spellEnd"/>
      <w:r w:rsidRPr="00FA4188">
        <w:rPr>
          <w:sz w:val="18"/>
          <w:szCs w:val="18"/>
          <w:lang w:eastAsia="en-GB"/>
        </w:rPr>
        <w:t xml:space="preserve">, D. Madern, C. Breyton, O. Maury, E. Girard, </w:t>
      </w:r>
      <w:r w:rsidRPr="00FA4188">
        <w:rPr>
          <w:i/>
          <w:iCs/>
          <w:sz w:val="18"/>
          <w:szCs w:val="18"/>
          <w:lang w:eastAsia="en-GB"/>
        </w:rPr>
        <w:t>Chem. Sci.</w:t>
      </w:r>
      <w:r w:rsidRPr="00FA4188">
        <w:rPr>
          <w:sz w:val="18"/>
          <w:szCs w:val="18"/>
          <w:lang w:eastAsia="en-GB"/>
        </w:rPr>
        <w:t xml:space="preserve"> </w:t>
      </w:r>
      <w:r w:rsidRPr="00FA4188">
        <w:rPr>
          <w:b/>
          <w:bCs/>
          <w:sz w:val="18"/>
          <w:szCs w:val="18"/>
          <w:lang w:eastAsia="en-GB"/>
        </w:rPr>
        <w:t>2017</w:t>
      </w:r>
      <w:r w:rsidRPr="00FA4188">
        <w:rPr>
          <w:sz w:val="18"/>
          <w:szCs w:val="18"/>
          <w:lang w:eastAsia="en-GB"/>
        </w:rPr>
        <w:t xml:space="preserve">, </w:t>
      </w:r>
      <w:r w:rsidRPr="00FA4188">
        <w:rPr>
          <w:i/>
          <w:iCs/>
          <w:sz w:val="18"/>
          <w:szCs w:val="18"/>
          <w:lang w:eastAsia="en-GB"/>
        </w:rPr>
        <w:t>8</w:t>
      </w:r>
      <w:r w:rsidRPr="00FA4188">
        <w:rPr>
          <w:sz w:val="18"/>
          <w:szCs w:val="18"/>
          <w:lang w:eastAsia="en-GB"/>
        </w:rPr>
        <w:t>, 5909–5917.</w:t>
      </w:r>
    </w:p>
    <w:p w:rsidR="001866C5" w:rsidRPr="006440A4" w:rsidRDefault="001866C5" w:rsidP="001866C5">
      <w:pPr>
        <w:pStyle w:val="Bibliographie"/>
        <w:rPr>
          <w:sz w:val="18"/>
          <w:szCs w:val="18"/>
          <w:lang w:val="fr-FR" w:eastAsia="en-GB"/>
        </w:rPr>
      </w:pPr>
      <w:r w:rsidRPr="006440A4">
        <w:rPr>
          <w:sz w:val="18"/>
          <w:szCs w:val="18"/>
          <w:lang w:val="fr-FR" w:eastAsia="en-GB"/>
        </w:rPr>
        <w:t>[2]</w:t>
      </w:r>
      <w:r w:rsidRPr="006440A4">
        <w:rPr>
          <w:sz w:val="18"/>
          <w:szCs w:val="18"/>
          <w:lang w:val="fr-FR" w:eastAsia="en-GB"/>
        </w:rPr>
        <w:tab/>
        <w:t xml:space="preserve">S. </w:t>
      </w:r>
      <w:proofErr w:type="spellStart"/>
      <w:r w:rsidRPr="006440A4">
        <w:rPr>
          <w:sz w:val="18"/>
          <w:szCs w:val="18"/>
          <w:lang w:val="fr-FR" w:eastAsia="en-GB"/>
        </w:rPr>
        <w:t>Engilberge</w:t>
      </w:r>
      <w:proofErr w:type="spellEnd"/>
      <w:r w:rsidRPr="006440A4">
        <w:rPr>
          <w:sz w:val="18"/>
          <w:szCs w:val="18"/>
          <w:lang w:val="fr-FR" w:eastAsia="en-GB"/>
        </w:rPr>
        <w:t xml:space="preserve">, T. Wagner, G. </w:t>
      </w:r>
      <w:proofErr w:type="spellStart"/>
      <w:r w:rsidRPr="006440A4">
        <w:rPr>
          <w:sz w:val="18"/>
          <w:szCs w:val="18"/>
          <w:lang w:val="fr-FR" w:eastAsia="en-GB"/>
        </w:rPr>
        <w:t>Santoni</w:t>
      </w:r>
      <w:proofErr w:type="spellEnd"/>
      <w:r w:rsidRPr="006440A4">
        <w:rPr>
          <w:sz w:val="18"/>
          <w:szCs w:val="18"/>
          <w:lang w:val="fr-FR" w:eastAsia="en-GB"/>
        </w:rPr>
        <w:t xml:space="preserve">, C. </w:t>
      </w:r>
      <w:proofErr w:type="spellStart"/>
      <w:r w:rsidRPr="006440A4">
        <w:rPr>
          <w:sz w:val="18"/>
          <w:szCs w:val="18"/>
          <w:lang w:val="fr-FR" w:eastAsia="en-GB"/>
        </w:rPr>
        <w:t>Breyton</w:t>
      </w:r>
      <w:proofErr w:type="spellEnd"/>
      <w:r w:rsidRPr="006440A4">
        <w:rPr>
          <w:sz w:val="18"/>
          <w:szCs w:val="18"/>
          <w:lang w:val="fr-FR" w:eastAsia="en-GB"/>
        </w:rPr>
        <w:t xml:space="preserve">, S. </w:t>
      </w:r>
      <w:proofErr w:type="spellStart"/>
      <w:r w:rsidRPr="006440A4">
        <w:rPr>
          <w:sz w:val="18"/>
          <w:szCs w:val="18"/>
          <w:lang w:val="fr-FR" w:eastAsia="en-GB"/>
        </w:rPr>
        <w:t>Shima</w:t>
      </w:r>
      <w:proofErr w:type="spellEnd"/>
      <w:r w:rsidRPr="006440A4">
        <w:rPr>
          <w:sz w:val="18"/>
          <w:szCs w:val="18"/>
          <w:lang w:val="fr-FR" w:eastAsia="en-GB"/>
        </w:rPr>
        <w:t xml:space="preserve">, B. </w:t>
      </w:r>
      <w:proofErr w:type="spellStart"/>
      <w:r w:rsidRPr="006440A4">
        <w:rPr>
          <w:sz w:val="18"/>
          <w:szCs w:val="18"/>
          <w:lang w:val="fr-FR" w:eastAsia="en-GB"/>
        </w:rPr>
        <w:t>Franzetti</w:t>
      </w:r>
      <w:proofErr w:type="spellEnd"/>
      <w:r w:rsidRPr="006440A4">
        <w:rPr>
          <w:sz w:val="18"/>
          <w:szCs w:val="18"/>
          <w:lang w:val="fr-FR" w:eastAsia="en-GB"/>
        </w:rPr>
        <w:t xml:space="preserve">, F. </w:t>
      </w:r>
      <w:proofErr w:type="spellStart"/>
      <w:r w:rsidRPr="006440A4">
        <w:rPr>
          <w:sz w:val="18"/>
          <w:szCs w:val="18"/>
          <w:lang w:val="fr-FR" w:eastAsia="en-GB"/>
        </w:rPr>
        <w:t>Riobé</w:t>
      </w:r>
      <w:proofErr w:type="spellEnd"/>
      <w:r w:rsidRPr="006440A4">
        <w:rPr>
          <w:sz w:val="18"/>
          <w:szCs w:val="18"/>
          <w:lang w:val="fr-FR" w:eastAsia="en-GB"/>
        </w:rPr>
        <w:t xml:space="preserve">, O. Maury, E. Girard, </w:t>
      </w:r>
      <w:r w:rsidRPr="006440A4">
        <w:rPr>
          <w:i/>
          <w:iCs/>
          <w:sz w:val="18"/>
          <w:szCs w:val="18"/>
          <w:lang w:val="fr-FR" w:eastAsia="en-GB"/>
        </w:rPr>
        <w:t xml:space="preserve">J </w:t>
      </w:r>
      <w:proofErr w:type="spellStart"/>
      <w:r w:rsidRPr="006440A4">
        <w:rPr>
          <w:i/>
          <w:iCs/>
          <w:sz w:val="18"/>
          <w:szCs w:val="18"/>
          <w:lang w:val="fr-FR" w:eastAsia="en-GB"/>
        </w:rPr>
        <w:t>Appl</w:t>
      </w:r>
      <w:proofErr w:type="spellEnd"/>
      <w:r w:rsidRPr="006440A4">
        <w:rPr>
          <w:i/>
          <w:iCs/>
          <w:sz w:val="18"/>
          <w:szCs w:val="18"/>
          <w:lang w:val="fr-FR" w:eastAsia="en-GB"/>
        </w:rPr>
        <w:t xml:space="preserve"> </w:t>
      </w:r>
      <w:proofErr w:type="spellStart"/>
      <w:r w:rsidRPr="006440A4">
        <w:rPr>
          <w:i/>
          <w:iCs/>
          <w:sz w:val="18"/>
          <w:szCs w:val="18"/>
          <w:lang w:val="fr-FR" w:eastAsia="en-GB"/>
        </w:rPr>
        <w:t>Crystallogr</w:t>
      </w:r>
      <w:proofErr w:type="spellEnd"/>
      <w:r w:rsidRPr="006440A4">
        <w:rPr>
          <w:sz w:val="18"/>
          <w:szCs w:val="18"/>
          <w:lang w:val="fr-FR" w:eastAsia="en-GB"/>
        </w:rPr>
        <w:t xml:space="preserve"> </w:t>
      </w:r>
      <w:r w:rsidRPr="006440A4">
        <w:rPr>
          <w:b/>
          <w:bCs/>
          <w:sz w:val="18"/>
          <w:szCs w:val="18"/>
          <w:lang w:val="fr-FR" w:eastAsia="en-GB"/>
        </w:rPr>
        <w:t>2019</w:t>
      </w:r>
      <w:r w:rsidRPr="006440A4">
        <w:rPr>
          <w:sz w:val="18"/>
          <w:szCs w:val="18"/>
          <w:lang w:val="fr-FR" w:eastAsia="en-GB"/>
        </w:rPr>
        <w:t xml:space="preserve">, </w:t>
      </w:r>
      <w:r w:rsidRPr="006440A4">
        <w:rPr>
          <w:i/>
          <w:iCs/>
          <w:sz w:val="18"/>
          <w:szCs w:val="18"/>
          <w:lang w:val="fr-FR" w:eastAsia="en-GB"/>
        </w:rPr>
        <w:t>52</w:t>
      </w:r>
      <w:r w:rsidRPr="006440A4">
        <w:rPr>
          <w:sz w:val="18"/>
          <w:szCs w:val="18"/>
          <w:lang w:val="fr-FR" w:eastAsia="en-GB"/>
        </w:rPr>
        <w:t>, 722–731.</w:t>
      </w:r>
    </w:p>
    <w:p w:rsidR="001866C5" w:rsidRPr="006440A4" w:rsidRDefault="001866C5" w:rsidP="001866C5">
      <w:pPr>
        <w:pStyle w:val="Bibliographie"/>
        <w:rPr>
          <w:sz w:val="18"/>
          <w:szCs w:val="18"/>
          <w:lang w:val="en-US" w:eastAsia="en-GB"/>
        </w:rPr>
      </w:pPr>
      <w:r w:rsidRPr="006440A4">
        <w:rPr>
          <w:sz w:val="18"/>
          <w:szCs w:val="18"/>
          <w:lang w:val="en-US" w:eastAsia="en-GB"/>
        </w:rPr>
        <w:t>[3]</w:t>
      </w:r>
      <w:r w:rsidRPr="006440A4">
        <w:rPr>
          <w:sz w:val="18"/>
          <w:szCs w:val="18"/>
          <w:lang w:val="en-US" w:eastAsia="en-GB"/>
        </w:rPr>
        <w:tab/>
        <w:t xml:space="preserve">B. </w:t>
      </w:r>
      <w:proofErr w:type="spellStart"/>
      <w:r w:rsidRPr="006440A4">
        <w:rPr>
          <w:sz w:val="18"/>
          <w:szCs w:val="18"/>
          <w:lang w:val="en-US" w:eastAsia="en-GB"/>
        </w:rPr>
        <w:t>Vögeli</w:t>
      </w:r>
      <w:proofErr w:type="spellEnd"/>
      <w:r w:rsidRPr="006440A4">
        <w:rPr>
          <w:sz w:val="18"/>
          <w:szCs w:val="18"/>
          <w:lang w:val="en-US" w:eastAsia="en-GB"/>
        </w:rPr>
        <w:t xml:space="preserve">, S. </w:t>
      </w:r>
      <w:proofErr w:type="spellStart"/>
      <w:r w:rsidRPr="006440A4">
        <w:rPr>
          <w:sz w:val="18"/>
          <w:szCs w:val="18"/>
          <w:lang w:val="en-US" w:eastAsia="en-GB"/>
        </w:rPr>
        <w:t>Engilberge</w:t>
      </w:r>
      <w:proofErr w:type="spellEnd"/>
      <w:r w:rsidRPr="006440A4">
        <w:rPr>
          <w:sz w:val="18"/>
          <w:szCs w:val="18"/>
          <w:lang w:val="en-US" w:eastAsia="en-GB"/>
        </w:rPr>
        <w:t xml:space="preserve">, E. Girard, F. </w:t>
      </w:r>
      <w:proofErr w:type="spellStart"/>
      <w:r w:rsidRPr="006440A4">
        <w:rPr>
          <w:sz w:val="18"/>
          <w:szCs w:val="18"/>
          <w:lang w:val="en-US" w:eastAsia="en-GB"/>
        </w:rPr>
        <w:t>Riobé</w:t>
      </w:r>
      <w:proofErr w:type="spellEnd"/>
      <w:r w:rsidRPr="006440A4">
        <w:rPr>
          <w:sz w:val="18"/>
          <w:szCs w:val="18"/>
          <w:lang w:val="en-US" w:eastAsia="en-GB"/>
        </w:rPr>
        <w:t xml:space="preserve">, O. Maury, T. J. Erb, S. Shima, T. Wagner, </w:t>
      </w:r>
      <w:r w:rsidRPr="006440A4">
        <w:rPr>
          <w:i/>
          <w:iCs/>
          <w:sz w:val="18"/>
          <w:szCs w:val="18"/>
          <w:lang w:val="en-US" w:eastAsia="en-GB"/>
        </w:rPr>
        <w:t>Proceedings of the National Academy of Sciences</w:t>
      </w:r>
      <w:r w:rsidRPr="006440A4">
        <w:rPr>
          <w:sz w:val="18"/>
          <w:szCs w:val="18"/>
          <w:lang w:val="en-US" w:eastAsia="en-GB"/>
        </w:rPr>
        <w:t xml:space="preserve"> </w:t>
      </w:r>
      <w:r w:rsidRPr="006440A4">
        <w:rPr>
          <w:b/>
          <w:bCs/>
          <w:sz w:val="18"/>
          <w:szCs w:val="18"/>
          <w:lang w:val="en-US" w:eastAsia="en-GB"/>
        </w:rPr>
        <w:t>2018</w:t>
      </w:r>
      <w:r w:rsidRPr="006440A4">
        <w:rPr>
          <w:sz w:val="18"/>
          <w:szCs w:val="18"/>
          <w:lang w:val="en-US" w:eastAsia="en-GB"/>
        </w:rPr>
        <w:t xml:space="preserve">, </w:t>
      </w:r>
      <w:r w:rsidRPr="006440A4">
        <w:rPr>
          <w:i/>
          <w:iCs/>
          <w:sz w:val="18"/>
          <w:szCs w:val="18"/>
          <w:lang w:val="en-US" w:eastAsia="en-GB"/>
        </w:rPr>
        <w:t>115</w:t>
      </w:r>
      <w:r w:rsidRPr="006440A4">
        <w:rPr>
          <w:sz w:val="18"/>
          <w:szCs w:val="18"/>
          <w:lang w:val="en-US" w:eastAsia="en-GB"/>
        </w:rPr>
        <w:t>, 3380–3385.</w:t>
      </w:r>
    </w:p>
    <w:p w:rsidR="001866C5" w:rsidRPr="006440A4" w:rsidRDefault="001866C5" w:rsidP="001866C5">
      <w:pPr>
        <w:pStyle w:val="Bibliographie"/>
        <w:rPr>
          <w:sz w:val="18"/>
          <w:szCs w:val="18"/>
          <w:lang w:val="en-US" w:eastAsia="en-GB"/>
        </w:rPr>
      </w:pPr>
      <w:r w:rsidRPr="006440A4">
        <w:rPr>
          <w:sz w:val="18"/>
          <w:szCs w:val="18"/>
          <w:lang w:val="en-US" w:eastAsia="en-GB"/>
        </w:rPr>
        <w:t>[4]</w:t>
      </w:r>
      <w:r w:rsidRPr="006440A4">
        <w:rPr>
          <w:sz w:val="18"/>
          <w:szCs w:val="18"/>
          <w:lang w:val="en-US" w:eastAsia="en-GB"/>
        </w:rPr>
        <w:tab/>
        <w:t xml:space="preserve">R. De </w:t>
      </w:r>
      <w:proofErr w:type="spellStart"/>
      <w:r w:rsidRPr="006440A4">
        <w:rPr>
          <w:sz w:val="18"/>
          <w:szCs w:val="18"/>
          <w:lang w:val="en-US" w:eastAsia="en-GB"/>
        </w:rPr>
        <w:t>Wijn</w:t>
      </w:r>
      <w:proofErr w:type="spellEnd"/>
      <w:r w:rsidRPr="006440A4">
        <w:rPr>
          <w:sz w:val="18"/>
          <w:szCs w:val="18"/>
          <w:lang w:val="en-US" w:eastAsia="en-GB"/>
        </w:rPr>
        <w:t xml:space="preserve">, K. Rollet, S. </w:t>
      </w:r>
      <w:proofErr w:type="spellStart"/>
      <w:r w:rsidRPr="006440A4">
        <w:rPr>
          <w:sz w:val="18"/>
          <w:szCs w:val="18"/>
          <w:lang w:val="en-US" w:eastAsia="en-GB"/>
        </w:rPr>
        <w:t>Engilberge</w:t>
      </w:r>
      <w:proofErr w:type="spellEnd"/>
      <w:r w:rsidRPr="006440A4">
        <w:rPr>
          <w:sz w:val="18"/>
          <w:szCs w:val="18"/>
          <w:lang w:val="en-US" w:eastAsia="en-GB"/>
        </w:rPr>
        <w:t xml:space="preserve">, A. McEwen, O. Hennig, H. </w:t>
      </w:r>
      <w:proofErr w:type="spellStart"/>
      <w:r w:rsidRPr="006440A4">
        <w:rPr>
          <w:sz w:val="18"/>
          <w:szCs w:val="18"/>
          <w:lang w:val="en-US" w:eastAsia="en-GB"/>
        </w:rPr>
        <w:t>Betat</w:t>
      </w:r>
      <w:proofErr w:type="spellEnd"/>
      <w:r w:rsidRPr="006440A4">
        <w:rPr>
          <w:sz w:val="18"/>
          <w:szCs w:val="18"/>
          <w:lang w:val="en-US" w:eastAsia="en-GB"/>
        </w:rPr>
        <w:t xml:space="preserve">, M. </w:t>
      </w:r>
      <w:proofErr w:type="spellStart"/>
      <w:r w:rsidRPr="006440A4">
        <w:rPr>
          <w:sz w:val="18"/>
          <w:szCs w:val="18"/>
          <w:lang w:val="en-US" w:eastAsia="en-GB"/>
        </w:rPr>
        <w:t>Mörl</w:t>
      </w:r>
      <w:proofErr w:type="spellEnd"/>
      <w:r w:rsidRPr="006440A4">
        <w:rPr>
          <w:sz w:val="18"/>
          <w:szCs w:val="18"/>
          <w:lang w:val="en-US" w:eastAsia="en-GB"/>
        </w:rPr>
        <w:t xml:space="preserve">, F. </w:t>
      </w:r>
      <w:proofErr w:type="spellStart"/>
      <w:r w:rsidRPr="006440A4">
        <w:rPr>
          <w:sz w:val="18"/>
          <w:szCs w:val="18"/>
          <w:lang w:val="en-US" w:eastAsia="en-GB"/>
        </w:rPr>
        <w:t>Riobé</w:t>
      </w:r>
      <w:proofErr w:type="spellEnd"/>
      <w:r w:rsidRPr="006440A4">
        <w:rPr>
          <w:sz w:val="18"/>
          <w:szCs w:val="18"/>
          <w:lang w:val="en-US" w:eastAsia="en-GB"/>
        </w:rPr>
        <w:t xml:space="preserve">, O. Maury, E. Girard, P. </w:t>
      </w:r>
      <w:proofErr w:type="spellStart"/>
      <w:r w:rsidRPr="006440A4">
        <w:rPr>
          <w:sz w:val="18"/>
          <w:szCs w:val="18"/>
          <w:lang w:val="en-US" w:eastAsia="en-GB"/>
        </w:rPr>
        <w:t>Bénas</w:t>
      </w:r>
      <w:proofErr w:type="spellEnd"/>
      <w:r w:rsidRPr="006440A4">
        <w:rPr>
          <w:sz w:val="18"/>
          <w:szCs w:val="18"/>
          <w:lang w:val="en-US" w:eastAsia="en-GB"/>
        </w:rPr>
        <w:t xml:space="preserve">, B. Lorber, C. Sauter, </w:t>
      </w:r>
      <w:r w:rsidRPr="006440A4">
        <w:rPr>
          <w:i/>
          <w:iCs/>
          <w:sz w:val="18"/>
          <w:szCs w:val="18"/>
          <w:lang w:val="en-US" w:eastAsia="en-GB"/>
        </w:rPr>
        <w:t>Crystals</w:t>
      </w:r>
      <w:r w:rsidRPr="006440A4">
        <w:rPr>
          <w:sz w:val="18"/>
          <w:szCs w:val="18"/>
          <w:lang w:val="en-US" w:eastAsia="en-GB"/>
        </w:rPr>
        <w:t xml:space="preserve"> </w:t>
      </w:r>
      <w:r w:rsidRPr="006440A4">
        <w:rPr>
          <w:b/>
          <w:bCs/>
          <w:sz w:val="18"/>
          <w:szCs w:val="18"/>
          <w:lang w:val="en-US" w:eastAsia="en-GB"/>
        </w:rPr>
        <w:t>2020</w:t>
      </w:r>
      <w:r w:rsidRPr="006440A4">
        <w:rPr>
          <w:sz w:val="18"/>
          <w:szCs w:val="18"/>
          <w:lang w:val="en-US" w:eastAsia="en-GB"/>
        </w:rPr>
        <w:t xml:space="preserve">, </w:t>
      </w:r>
      <w:r w:rsidRPr="006440A4">
        <w:rPr>
          <w:i/>
          <w:iCs/>
          <w:sz w:val="18"/>
          <w:szCs w:val="18"/>
          <w:lang w:val="en-US" w:eastAsia="en-GB"/>
        </w:rPr>
        <w:t>10</w:t>
      </w:r>
      <w:r w:rsidRPr="006440A4">
        <w:rPr>
          <w:sz w:val="18"/>
          <w:szCs w:val="18"/>
          <w:lang w:val="en-US" w:eastAsia="en-GB"/>
        </w:rPr>
        <w:t>, 65.</w:t>
      </w:r>
    </w:p>
    <w:p w:rsidR="001866C5" w:rsidRPr="006440A4" w:rsidRDefault="001866C5" w:rsidP="001866C5">
      <w:pPr>
        <w:pStyle w:val="Bibliographie"/>
        <w:rPr>
          <w:sz w:val="18"/>
          <w:szCs w:val="18"/>
          <w:lang w:val="en-US" w:eastAsia="en-GB"/>
        </w:rPr>
      </w:pPr>
      <w:r w:rsidRPr="006440A4">
        <w:rPr>
          <w:sz w:val="18"/>
          <w:szCs w:val="18"/>
          <w:lang w:val="en-US" w:eastAsia="en-GB"/>
        </w:rPr>
        <w:t>[5]</w:t>
      </w:r>
      <w:r w:rsidRPr="006440A4">
        <w:rPr>
          <w:sz w:val="18"/>
          <w:szCs w:val="18"/>
          <w:lang w:val="en-US" w:eastAsia="en-GB"/>
        </w:rPr>
        <w:tab/>
        <w:t xml:space="preserve">J. M. Martin-Garcia, </w:t>
      </w:r>
      <w:r w:rsidRPr="006440A4">
        <w:rPr>
          <w:i/>
          <w:iCs/>
          <w:sz w:val="18"/>
          <w:szCs w:val="18"/>
          <w:lang w:val="en-US" w:eastAsia="en-GB"/>
        </w:rPr>
        <w:t>Crystals</w:t>
      </w:r>
      <w:r w:rsidRPr="006440A4">
        <w:rPr>
          <w:sz w:val="18"/>
          <w:szCs w:val="18"/>
          <w:lang w:val="en-US" w:eastAsia="en-GB"/>
        </w:rPr>
        <w:t xml:space="preserve"> </w:t>
      </w:r>
      <w:r w:rsidRPr="006440A4">
        <w:rPr>
          <w:b/>
          <w:bCs/>
          <w:sz w:val="18"/>
          <w:szCs w:val="18"/>
          <w:lang w:val="en-US" w:eastAsia="en-GB"/>
        </w:rPr>
        <w:t>2021</w:t>
      </w:r>
      <w:r w:rsidRPr="006440A4">
        <w:rPr>
          <w:sz w:val="18"/>
          <w:szCs w:val="18"/>
          <w:lang w:val="en-US" w:eastAsia="en-GB"/>
        </w:rPr>
        <w:t xml:space="preserve">, </w:t>
      </w:r>
      <w:r w:rsidRPr="006440A4">
        <w:rPr>
          <w:i/>
          <w:iCs/>
          <w:sz w:val="18"/>
          <w:szCs w:val="18"/>
          <w:lang w:val="en-US" w:eastAsia="en-GB"/>
        </w:rPr>
        <w:t>11</w:t>
      </w:r>
      <w:r w:rsidRPr="006440A4">
        <w:rPr>
          <w:sz w:val="18"/>
          <w:szCs w:val="18"/>
          <w:lang w:val="en-US" w:eastAsia="en-GB"/>
        </w:rPr>
        <w:t>, 521.</w:t>
      </w:r>
    </w:p>
    <w:p w:rsidR="001866C5" w:rsidRPr="006440A4" w:rsidRDefault="001866C5" w:rsidP="001866C5">
      <w:pPr>
        <w:pStyle w:val="Bibliographie"/>
        <w:rPr>
          <w:sz w:val="18"/>
          <w:szCs w:val="18"/>
          <w:lang w:val="en-US" w:eastAsia="en-GB"/>
        </w:rPr>
      </w:pPr>
      <w:r w:rsidRPr="006440A4">
        <w:rPr>
          <w:sz w:val="18"/>
          <w:szCs w:val="18"/>
          <w:lang w:val="en-US" w:eastAsia="en-GB"/>
        </w:rPr>
        <w:t>[6]</w:t>
      </w:r>
      <w:r w:rsidRPr="006440A4">
        <w:rPr>
          <w:sz w:val="18"/>
          <w:szCs w:val="18"/>
          <w:lang w:val="en-US" w:eastAsia="en-GB"/>
        </w:rPr>
        <w:tab/>
        <w:t xml:space="preserve">T. R. M. Barends, B. Stauch, V. Cherezov, I. Schlichting, </w:t>
      </w:r>
      <w:r w:rsidRPr="006440A4">
        <w:rPr>
          <w:i/>
          <w:iCs/>
          <w:sz w:val="18"/>
          <w:szCs w:val="18"/>
          <w:lang w:val="en-US" w:eastAsia="en-GB"/>
        </w:rPr>
        <w:t>Nat Rev Methods Primers</w:t>
      </w:r>
      <w:r w:rsidRPr="006440A4">
        <w:rPr>
          <w:sz w:val="18"/>
          <w:szCs w:val="18"/>
          <w:lang w:val="en-US" w:eastAsia="en-GB"/>
        </w:rPr>
        <w:t xml:space="preserve"> </w:t>
      </w:r>
      <w:r w:rsidRPr="006440A4">
        <w:rPr>
          <w:b/>
          <w:bCs/>
          <w:sz w:val="18"/>
          <w:szCs w:val="18"/>
          <w:lang w:val="en-US" w:eastAsia="en-GB"/>
        </w:rPr>
        <w:t>2022</w:t>
      </w:r>
      <w:r w:rsidRPr="006440A4">
        <w:rPr>
          <w:sz w:val="18"/>
          <w:szCs w:val="18"/>
          <w:lang w:val="en-US" w:eastAsia="en-GB"/>
        </w:rPr>
        <w:t xml:space="preserve">, </w:t>
      </w:r>
      <w:r w:rsidRPr="006440A4">
        <w:rPr>
          <w:i/>
          <w:iCs/>
          <w:sz w:val="18"/>
          <w:szCs w:val="18"/>
          <w:lang w:val="en-US" w:eastAsia="en-GB"/>
        </w:rPr>
        <w:t>2</w:t>
      </w:r>
      <w:r w:rsidRPr="006440A4">
        <w:rPr>
          <w:sz w:val="18"/>
          <w:szCs w:val="18"/>
          <w:lang w:val="en-US" w:eastAsia="en-GB"/>
        </w:rPr>
        <w:t>, 59.</w:t>
      </w:r>
    </w:p>
    <w:p w:rsidR="001866C5" w:rsidRPr="006440A4" w:rsidRDefault="001866C5" w:rsidP="001866C5">
      <w:pPr>
        <w:pStyle w:val="Bibliographie"/>
        <w:rPr>
          <w:sz w:val="18"/>
          <w:szCs w:val="18"/>
          <w:lang w:val="en-US" w:eastAsia="en-GB"/>
        </w:rPr>
      </w:pPr>
      <w:r w:rsidRPr="006440A4">
        <w:rPr>
          <w:sz w:val="18"/>
          <w:szCs w:val="18"/>
          <w:lang w:val="en-US" w:eastAsia="en-GB"/>
        </w:rPr>
        <w:t>[7]</w:t>
      </w:r>
      <w:r w:rsidRPr="006440A4">
        <w:rPr>
          <w:sz w:val="18"/>
          <w:szCs w:val="18"/>
          <w:lang w:val="en-US" w:eastAsia="en-GB"/>
        </w:rPr>
        <w:tab/>
        <w:t xml:space="preserve">K. H. Nam, </w:t>
      </w:r>
      <w:r w:rsidRPr="006440A4">
        <w:rPr>
          <w:i/>
          <w:iCs/>
          <w:sz w:val="18"/>
          <w:szCs w:val="18"/>
          <w:lang w:val="en-US" w:eastAsia="en-GB"/>
        </w:rPr>
        <w:t>Current Research in Structural Biology</w:t>
      </w:r>
      <w:r w:rsidRPr="006440A4">
        <w:rPr>
          <w:sz w:val="18"/>
          <w:szCs w:val="18"/>
          <w:lang w:val="en-US" w:eastAsia="en-GB"/>
        </w:rPr>
        <w:t xml:space="preserve"> </w:t>
      </w:r>
      <w:r w:rsidRPr="006440A4">
        <w:rPr>
          <w:b/>
          <w:bCs/>
          <w:sz w:val="18"/>
          <w:szCs w:val="18"/>
          <w:lang w:val="en-US" w:eastAsia="en-GB"/>
        </w:rPr>
        <w:t>2024</w:t>
      </w:r>
      <w:r w:rsidRPr="006440A4">
        <w:rPr>
          <w:sz w:val="18"/>
          <w:szCs w:val="18"/>
          <w:lang w:val="en-US" w:eastAsia="en-GB"/>
        </w:rPr>
        <w:t xml:space="preserve">, </w:t>
      </w:r>
      <w:r w:rsidRPr="006440A4">
        <w:rPr>
          <w:i/>
          <w:iCs/>
          <w:sz w:val="18"/>
          <w:szCs w:val="18"/>
          <w:lang w:val="en-US" w:eastAsia="en-GB"/>
        </w:rPr>
        <w:t>7</w:t>
      </w:r>
      <w:r w:rsidRPr="006440A4">
        <w:rPr>
          <w:sz w:val="18"/>
          <w:szCs w:val="18"/>
          <w:lang w:val="en-US" w:eastAsia="en-GB"/>
        </w:rPr>
        <w:t>, 100131.</w:t>
      </w:r>
    </w:p>
    <w:p w:rsidR="001866C5" w:rsidRPr="006440A4" w:rsidRDefault="001866C5" w:rsidP="001866C5">
      <w:pPr>
        <w:pStyle w:val="Bibliographie"/>
        <w:rPr>
          <w:sz w:val="18"/>
          <w:szCs w:val="18"/>
          <w:lang w:val="en-US" w:eastAsia="en-GB"/>
        </w:rPr>
      </w:pPr>
      <w:r w:rsidRPr="006440A4">
        <w:rPr>
          <w:sz w:val="18"/>
          <w:szCs w:val="18"/>
          <w:lang w:val="en-US" w:eastAsia="en-GB"/>
        </w:rPr>
        <w:t>[8]</w:t>
      </w:r>
      <w:r w:rsidRPr="006440A4">
        <w:rPr>
          <w:sz w:val="18"/>
          <w:szCs w:val="18"/>
          <w:lang w:val="en-US" w:eastAsia="en-GB"/>
        </w:rPr>
        <w:tab/>
        <w:t xml:space="preserve">N. Caramello, A. </w:t>
      </w:r>
      <w:proofErr w:type="spellStart"/>
      <w:r w:rsidRPr="006440A4">
        <w:rPr>
          <w:sz w:val="18"/>
          <w:szCs w:val="18"/>
          <w:lang w:val="en-US" w:eastAsia="en-GB"/>
        </w:rPr>
        <w:t>Royant</w:t>
      </w:r>
      <w:proofErr w:type="spellEnd"/>
      <w:r w:rsidRPr="006440A4">
        <w:rPr>
          <w:sz w:val="18"/>
          <w:szCs w:val="18"/>
          <w:lang w:val="en-US" w:eastAsia="en-GB"/>
        </w:rPr>
        <w:t xml:space="preserve">, </w:t>
      </w:r>
      <w:r w:rsidRPr="006440A4">
        <w:rPr>
          <w:i/>
          <w:iCs/>
          <w:sz w:val="18"/>
          <w:szCs w:val="18"/>
          <w:lang w:val="en-US" w:eastAsia="en-GB"/>
        </w:rPr>
        <w:t xml:space="preserve">Acta </w:t>
      </w:r>
      <w:proofErr w:type="spellStart"/>
      <w:r w:rsidRPr="006440A4">
        <w:rPr>
          <w:i/>
          <w:iCs/>
          <w:sz w:val="18"/>
          <w:szCs w:val="18"/>
          <w:lang w:val="en-US" w:eastAsia="en-GB"/>
        </w:rPr>
        <w:t>Crystallogr</w:t>
      </w:r>
      <w:proofErr w:type="spellEnd"/>
      <w:r w:rsidRPr="006440A4">
        <w:rPr>
          <w:i/>
          <w:iCs/>
          <w:sz w:val="18"/>
          <w:szCs w:val="18"/>
          <w:lang w:val="en-US" w:eastAsia="en-GB"/>
        </w:rPr>
        <w:t xml:space="preserve"> D Struct Biol</w:t>
      </w:r>
      <w:r w:rsidRPr="006440A4">
        <w:rPr>
          <w:sz w:val="18"/>
          <w:szCs w:val="18"/>
          <w:lang w:val="en-US" w:eastAsia="en-GB"/>
        </w:rPr>
        <w:t xml:space="preserve"> </w:t>
      </w:r>
      <w:r w:rsidRPr="006440A4">
        <w:rPr>
          <w:b/>
          <w:bCs/>
          <w:sz w:val="18"/>
          <w:szCs w:val="18"/>
          <w:lang w:val="en-US" w:eastAsia="en-GB"/>
        </w:rPr>
        <w:t>2024</w:t>
      </w:r>
      <w:r w:rsidRPr="006440A4">
        <w:rPr>
          <w:sz w:val="18"/>
          <w:szCs w:val="18"/>
          <w:lang w:val="en-US" w:eastAsia="en-GB"/>
        </w:rPr>
        <w:t xml:space="preserve">, </w:t>
      </w:r>
      <w:r w:rsidRPr="006440A4">
        <w:rPr>
          <w:i/>
          <w:iCs/>
          <w:sz w:val="18"/>
          <w:szCs w:val="18"/>
          <w:lang w:val="en-US" w:eastAsia="en-GB"/>
        </w:rPr>
        <w:t>80</w:t>
      </w:r>
      <w:r w:rsidRPr="006440A4">
        <w:rPr>
          <w:sz w:val="18"/>
          <w:szCs w:val="18"/>
          <w:lang w:val="en-US" w:eastAsia="en-GB"/>
        </w:rPr>
        <w:t>, 60–79.</w:t>
      </w:r>
    </w:p>
    <w:p w:rsidR="001866C5" w:rsidRPr="006440A4" w:rsidRDefault="001866C5" w:rsidP="001866C5">
      <w:pPr>
        <w:pStyle w:val="Bibliographie"/>
        <w:rPr>
          <w:sz w:val="18"/>
          <w:szCs w:val="18"/>
          <w:lang w:val="en-US" w:eastAsia="en-GB"/>
        </w:rPr>
      </w:pPr>
      <w:r w:rsidRPr="006440A4">
        <w:rPr>
          <w:sz w:val="18"/>
          <w:szCs w:val="18"/>
          <w:lang w:val="en-US" w:eastAsia="en-GB"/>
        </w:rPr>
        <w:t>[9]</w:t>
      </w:r>
      <w:r w:rsidRPr="006440A4">
        <w:rPr>
          <w:sz w:val="18"/>
          <w:szCs w:val="18"/>
          <w:lang w:val="en-US" w:eastAsia="en-GB"/>
        </w:rPr>
        <w:tab/>
        <w:t xml:space="preserve">C. Sauter, D. </w:t>
      </w:r>
      <w:proofErr w:type="spellStart"/>
      <w:r w:rsidRPr="006440A4">
        <w:rPr>
          <w:sz w:val="18"/>
          <w:szCs w:val="18"/>
          <w:lang w:val="en-US" w:eastAsia="en-GB"/>
        </w:rPr>
        <w:t>Housset</w:t>
      </w:r>
      <w:proofErr w:type="spellEnd"/>
      <w:r w:rsidRPr="006440A4">
        <w:rPr>
          <w:sz w:val="18"/>
          <w:szCs w:val="18"/>
          <w:lang w:val="en-US" w:eastAsia="en-GB"/>
        </w:rPr>
        <w:t xml:space="preserve">, J. Orlans, R. de </w:t>
      </w:r>
      <w:proofErr w:type="spellStart"/>
      <w:r w:rsidRPr="006440A4">
        <w:rPr>
          <w:sz w:val="18"/>
          <w:szCs w:val="18"/>
          <w:lang w:val="en-US" w:eastAsia="en-GB"/>
        </w:rPr>
        <w:t>Wijn</w:t>
      </w:r>
      <w:proofErr w:type="spellEnd"/>
      <w:r w:rsidRPr="006440A4">
        <w:rPr>
          <w:sz w:val="18"/>
          <w:szCs w:val="18"/>
          <w:lang w:val="en-US" w:eastAsia="en-GB"/>
        </w:rPr>
        <w:t xml:space="preserve">, K. Rollet, S. L. Rose, S. Basu, P. </w:t>
      </w:r>
      <w:proofErr w:type="spellStart"/>
      <w:r w:rsidRPr="006440A4">
        <w:rPr>
          <w:sz w:val="18"/>
          <w:szCs w:val="18"/>
          <w:lang w:val="en-US" w:eastAsia="en-GB"/>
        </w:rPr>
        <w:t>Bénas</w:t>
      </w:r>
      <w:proofErr w:type="spellEnd"/>
      <w:r w:rsidRPr="006440A4">
        <w:rPr>
          <w:sz w:val="18"/>
          <w:szCs w:val="18"/>
          <w:lang w:val="en-US" w:eastAsia="en-GB"/>
        </w:rPr>
        <w:t xml:space="preserve">, J. Perez, D. de Sanctis, O. Maury, E. Girard, </w:t>
      </w:r>
      <w:r w:rsidRPr="006440A4">
        <w:rPr>
          <w:i/>
          <w:iCs/>
          <w:sz w:val="18"/>
          <w:szCs w:val="18"/>
          <w:lang w:val="en-US" w:eastAsia="en-GB"/>
        </w:rPr>
        <w:t>Crystal Growth &amp; Design</w:t>
      </w:r>
      <w:r w:rsidRPr="006440A4">
        <w:rPr>
          <w:sz w:val="18"/>
          <w:szCs w:val="18"/>
          <w:lang w:val="en-US" w:eastAsia="en-GB"/>
        </w:rPr>
        <w:t xml:space="preserve"> </w:t>
      </w:r>
      <w:r w:rsidRPr="006440A4">
        <w:rPr>
          <w:b/>
          <w:bCs/>
          <w:sz w:val="18"/>
          <w:szCs w:val="18"/>
          <w:lang w:val="en-US" w:eastAsia="en-GB"/>
        </w:rPr>
        <w:t>2024</w:t>
      </w:r>
      <w:r w:rsidRPr="006440A4">
        <w:rPr>
          <w:sz w:val="18"/>
          <w:szCs w:val="18"/>
          <w:lang w:val="en-US" w:eastAsia="en-GB"/>
        </w:rPr>
        <w:t xml:space="preserve">, </w:t>
      </w:r>
      <w:r w:rsidRPr="006440A4">
        <w:rPr>
          <w:i/>
          <w:iCs/>
          <w:sz w:val="18"/>
          <w:szCs w:val="18"/>
          <w:lang w:val="en-US" w:eastAsia="en-GB"/>
        </w:rPr>
        <w:t>24</w:t>
      </w:r>
      <w:r w:rsidRPr="006440A4">
        <w:rPr>
          <w:sz w:val="18"/>
          <w:szCs w:val="18"/>
          <w:lang w:val="en-US" w:eastAsia="en-GB"/>
        </w:rPr>
        <w:t>, 6682–6690.</w:t>
      </w:r>
    </w:p>
    <w:p w:rsidR="001866C5" w:rsidRDefault="001866C5" w:rsidP="001866C5">
      <w:pPr>
        <w:pStyle w:val="Bibliographie"/>
        <w:rPr>
          <w:sz w:val="18"/>
          <w:szCs w:val="18"/>
          <w:lang w:val="en-US" w:eastAsia="en-GB"/>
        </w:rPr>
      </w:pPr>
      <w:r w:rsidRPr="006440A4">
        <w:rPr>
          <w:sz w:val="18"/>
          <w:szCs w:val="18"/>
          <w:lang w:val="en-US" w:eastAsia="en-GB"/>
        </w:rPr>
        <w:t>[10]</w:t>
      </w:r>
      <w:r w:rsidRPr="006440A4">
        <w:rPr>
          <w:sz w:val="18"/>
          <w:szCs w:val="18"/>
          <w:lang w:val="en-US" w:eastAsia="en-GB"/>
        </w:rPr>
        <w:tab/>
        <w:t xml:space="preserve">A. Roux, Z. Alsalman, T. Jiang, J.-C. </w:t>
      </w:r>
      <w:proofErr w:type="spellStart"/>
      <w:r w:rsidRPr="006440A4">
        <w:rPr>
          <w:sz w:val="18"/>
          <w:szCs w:val="18"/>
          <w:lang w:val="en-US" w:eastAsia="en-GB"/>
        </w:rPr>
        <w:t>Mulatier</w:t>
      </w:r>
      <w:proofErr w:type="spellEnd"/>
      <w:r w:rsidRPr="006440A4">
        <w:rPr>
          <w:sz w:val="18"/>
          <w:szCs w:val="18"/>
          <w:lang w:val="en-US" w:eastAsia="en-GB"/>
        </w:rPr>
        <w:t xml:space="preserve">, D. </w:t>
      </w:r>
      <w:proofErr w:type="spellStart"/>
      <w:r w:rsidRPr="006440A4">
        <w:rPr>
          <w:sz w:val="18"/>
          <w:szCs w:val="18"/>
          <w:lang w:val="en-US" w:eastAsia="en-GB"/>
        </w:rPr>
        <w:t>Pitrat</w:t>
      </w:r>
      <w:proofErr w:type="spellEnd"/>
      <w:r w:rsidRPr="006440A4">
        <w:rPr>
          <w:sz w:val="18"/>
          <w:szCs w:val="18"/>
          <w:lang w:val="en-US" w:eastAsia="en-GB"/>
        </w:rPr>
        <w:t xml:space="preserve">, E. Dumont, F. </w:t>
      </w:r>
      <w:proofErr w:type="spellStart"/>
      <w:r w:rsidRPr="006440A4">
        <w:rPr>
          <w:sz w:val="18"/>
          <w:szCs w:val="18"/>
          <w:lang w:val="en-US" w:eastAsia="en-GB"/>
        </w:rPr>
        <w:t>Riobé</w:t>
      </w:r>
      <w:proofErr w:type="spellEnd"/>
      <w:r w:rsidRPr="006440A4">
        <w:rPr>
          <w:sz w:val="18"/>
          <w:szCs w:val="18"/>
          <w:lang w:val="en-US" w:eastAsia="en-GB"/>
        </w:rPr>
        <w:t xml:space="preserve">, N. Gillet, E. Girard, O. Maury, </w:t>
      </w:r>
      <w:r w:rsidRPr="006440A4">
        <w:rPr>
          <w:i/>
          <w:iCs/>
          <w:sz w:val="18"/>
          <w:szCs w:val="18"/>
          <w:lang w:val="en-US" w:eastAsia="en-GB"/>
        </w:rPr>
        <w:t>Chemistry – A European Journal</w:t>
      </w:r>
      <w:r w:rsidRPr="006440A4">
        <w:rPr>
          <w:sz w:val="18"/>
          <w:szCs w:val="18"/>
          <w:lang w:val="en-US" w:eastAsia="en-GB"/>
        </w:rPr>
        <w:t xml:space="preserve"> </w:t>
      </w:r>
      <w:r w:rsidRPr="006440A4">
        <w:rPr>
          <w:b/>
          <w:bCs/>
          <w:sz w:val="18"/>
          <w:szCs w:val="18"/>
          <w:lang w:val="en-US" w:eastAsia="en-GB"/>
        </w:rPr>
        <w:t>2024</w:t>
      </w:r>
      <w:r w:rsidRPr="006440A4">
        <w:rPr>
          <w:sz w:val="18"/>
          <w:szCs w:val="18"/>
          <w:lang w:val="en-US" w:eastAsia="en-GB"/>
        </w:rPr>
        <w:t xml:space="preserve">, </w:t>
      </w:r>
      <w:r w:rsidRPr="006440A4">
        <w:rPr>
          <w:i/>
          <w:iCs/>
          <w:sz w:val="18"/>
          <w:szCs w:val="18"/>
          <w:lang w:val="en-US" w:eastAsia="en-GB"/>
        </w:rPr>
        <w:t>30</w:t>
      </w:r>
      <w:r w:rsidRPr="006440A4">
        <w:rPr>
          <w:sz w:val="18"/>
          <w:szCs w:val="18"/>
          <w:lang w:val="en-US" w:eastAsia="en-GB"/>
        </w:rPr>
        <w:t>, e202400900.</w:t>
      </w:r>
    </w:p>
    <w:p w:rsidR="006440A4" w:rsidRPr="00973577" w:rsidRDefault="006440A4" w:rsidP="00973577">
      <w:pPr>
        <w:pStyle w:val="Bibliographie"/>
        <w:rPr>
          <w:sz w:val="18"/>
          <w:szCs w:val="18"/>
          <w:lang w:val="en-US" w:eastAsia="en-GB"/>
        </w:rPr>
      </w:pPr>
      <w:r w:rsidRPr="00973577">
        <w:rPr>
          <w:sz w:val="18"/>
          <w:szCs w:val="18"/>
          <w:lang w:val="en-US" w:eastAsia="en-GB"/>
        </w:rPr>
        <w:t>[</w:t>
      </w:r>
      <w:r w:rsidRPr="00973577">
        <w:rPr>
          <w:sz w:val="18"/>
          <w:szCs w:val="18"/>
          <w:lang w:val="en-US" w:eastAsia="en-GB"/>
        </w:rPr>
        <w:t>1</w:t>
      </w:r>
      <w:r w:rsidR="00FA4188" w:rsidRPr="00973577">
        <w:rPr>
          <w:sz w:val="18"/>
          <w:szCs w:val="18"/>
          <w:lang w:val="en-US" w:eastAsia="en-GB"/>
        </w:rPr>
        <w:t>1</w:t>
      </w:r>
      <w:r w:rsidRPr="00973577">
        <w:rPr>
          <w:sz w:val="18"/>
          <w:szCs w:val="18"/>
          <w:lang w:val="en-US" w:eastAsia="en-GB"/>
        </w:rPr>
        <w:t>]</w:t>
      </w:r>
      <w:r w:rsidRPr="00973577">
        <w:rPr>
          <w:sz w:val="18"/>
          <w:szCs w:val="18"/>
          <w:lang w:val="en-US" w:eastAsia="en-GB"/>
        </w:rPr>
        <w:tab/>
      </w:r>
      <w:r w:rsidR="00973577" w:rsidRPr="00973577">
        <w:rPr>
          <w:sz w:val="18"/>
          <w:szCs w:val="18"/>
          <w:lang w:val="en-US" w:eastAsia="en-GB"/>
        </w:rPr>
        <w:t>M</w:t>
      </w:r>
      <w:r w:rsidR="00973577" w:rsidRPr="00973577">
        <w:rPr>
          <w:sz w:val="18"/>
          <w:szCs w:val="18"/>
          <w:lang w:val="en-US" w:eastAsia="en-GB"/>
        </w:rPr>
        <w:t>.</w:t>
      </w:r>
      <w:r w:rsidR="00973577" w:rsidRPr="00973577">
        <w:rPr>
          <w:sz w:val="18"/>
          <w:szCs w:val="18"/>
          <w:lang w:val="en-US" w:eastAsia="en-GB"/>
        </w:rPr>
        <w:t xml:space="preserve"> Roux, A</w:t>
      </w:r>
      <w:r w:rsidR="00973577" w:rsidRPr="00973577">
        <w:rPr>
          <w:sz w:val="18"/>
          <w:szCs w:val="18"/>
          <w:lang w:val="en-US" w:eastAsia="en-GB"/>
        </w:rPr>
        <w:t>.</w:t>
      </w:r>
      <w:r w:rsidR="00973577" w:rsidRPr="00973577">
        <w:rPr>
          <w:sz w:val="18"/>
          <w:szCs w:val="18"/>
          <w:lang w:val="en-US" w:eastAsia="en-GB"/>
        </w:rPr>
        <w:t xml:space="preserve"> Roux, T</w:t>
      </w:r>
      <w:r w:rsidR="00973577" w:rsidRPr="00973577">
        <w:rPr>
          <w:sz w:val="18"/>
          <w:szCs w:val="18"/>
          <w:lang w:val="en-US" w:eastAsia="en-GB"/>
        </w:rPr>
        <w:t>.</w:t>
      </w:r>
      <w:r w:rsidR="00973577" w:rsidRPr="00973577">
        <w:rPr>
          <w:sz w:val="18"/>
          <w:szCs w:val="18"/>
          <w:lang w:val="en-US" w:eastAsia="en-GB"/>
        </w:rPr>
        <w:t xml:space="preserve"> </w:t>
      </w:r>
      <w:proofErr w:type="spellStart"/>
      <w:r w:rsidR="00973577" w:rsidRPr="00973577">
        <w:rPr>
          <w:sz w:val="18"/>
          <w:szCs w:val="18"/>
          <w:lang w:val="en-US" w:eastAsia="en-GB"/>
        </w:rPr>
        <w:t>Boukéké-Lespulier</w:t>
      </w:r>
      <w:proofErr w:type="spellEnd"/>
      <w:r w:rsidR="00973577" w:rsidRPr="00973577">
        <w:rPr>
          <w:sz w:val="18"/>
          <w:szCs w:val="18"/>
          <w:lang w:val="en-US" w:eastAsia="en-GB"/>
        </w:rPr>
        <w:t>, F</w:t>
      </w:r>
      <w:r w:rsidR="00973577" w:rsidRPr="00973577">
        <w:rPr>
          <w:sz w:val="18"/>
          <w:szCs w:val="18"/>
          <w:lang w:val="en-US" w:eastAsia="en-GB"/>
        </w:rPr>
        <w:t>.</w:t>
      </w:r>
      <w:r w:rsidR="00973577" w:rsidRPr="00973577">
        <w:rPr>
          <w:sz w:val="18"/>
          <w:szCs w:val="18"/>
          <w:lang w:val="en-US" w:eastAsia="en-GB"/>
        </w:rPr>
        <w:t xml:space="preserve"> </w:t>
      </w:r>
      <w:proofErr w:type="spellStart"/>
      <w:r w:rsidR="00973577" w:rsidRPr="00973577">
        <w:rPr>
          <w:sz w:val="18"/>
          <w:szCs w:val="18"/>
          <w:lang w:val="en-US" w:eastAsia="en-GB"/>
        </w:rPr>
        <w:t>Riobé</w:t>
      </w:r>
      <w:proofErr w:type="spellEnd"/>
      <w:r w:rsidR="00973577" w:rsidRPr="00973577">
        <w:rPr>
          <w:sz w:val="18"/>
          <w:szCs w:val="18"/>
          <w:lang w:val="en-US" w:eastAsia="en-GB"/>
        </w:rPr>
        <w:t>, C</w:t>
      </w:r>
      <w:r w:rsidR="00973577" w:rsidRPr="00973577">
        <w:rPr>
          <w:sz w:val="18"/>
          <w:szCs w:val="18"/>
          <w:lang w:val="en-US" w:eastAsia="en-GB"/>
        </w:rPr>
        <w:t xml:space="preserve">. </w:t>
      </w:r>
      <w:r w:rsidR="00973577" w:rsidRPr="00973577">
        <w:rPr>
          <w:sz w:val="18"/>
          <w:szCs w:val="18"/>
          <w:lang w:val="en-US" w:eastAsia="en-GB"/>
        </w:rPr>
        <w:t>Chapelle</w:t>
      </w:r>
      <w:r w:rsidR="00973577" w:rsidRPr="00973577">
        <w:rPr>
          <w:sz w:val="18"/>
          <w:szCs w:val="18"/>
          <w:lang w:val="en-US" w:eastAsia="en-GB"/>
        </w:rPr>
        <w:t>,</w:t>
      </w:r>
      <w:r w:rsidR="00973577" w:rsidRPr="00973577">
        <w:rPr>
          <w:sz w:val="18"/>
          <w:szCs w:val="18"/>
          <w:lang w:val="en-US" w:eastAsia="en-GB"/>
        </w:rPr>
        <w:t xml:space="preserve"> N</w:t>
      </w:r>
      <w:r w:rsidR="00973577" w:rsidRPr="00973577">
        <w:rPr>
          <w:sz w:val="18"/>
          <w:szCs w:val="18"/>
          <w:lang w:val="en-US" w:eastAsia="en-GB"/>
        </w:rPr>
        <w:t>.</w:t>
      </w:r>
      <w:r w:rsidR="00973577" w:rsidRPr="00973577">
        <w:rPr>
          <w:sz w:val="18"/>
          <w:szCs w:val="18"/>
          <w:lang w:val="en-US" w:eastAsia="en-GB"/>
        </w:rPr>
        <w:t xml:space="preserve"> Foos, E</w:t>
      </w:r>
      <w:r w:rsidR="00973577" w:rsidRPr="00973577">
        <w:rPr>
          <w:sz w:val="18"/>
          <w:szCs w:val="18"/>
          <w:lang w:val="en-US" w:eastAsia="en-GB"/>
        </w:rPr>
        <w:t>.</w:t>
      </w:r>
      <w:r w:rsidR="00973577" w:rsidRPr="00973577">
        <w:rPr>
          <w:sz w:val="18"/>
          <w:szCs w:val="18"/>
          <w:lang w:val="en-US" w:eastAsia="en-GB"/>
        </w:rPr>
        <w:t xml:space="preserve"> Dumont, E</w:t>
      </w:r>
      <w:r w:rsidR="00973577" w:rsidRPr="00973577">
        <w:rPr>
          <w:sz w:val="18"/>
          <w:szCs w:val="18"/>
          <w:lang w:val="en-US" w:eastAsia="en-GB"/>
        </w:rPr>
        <w:t>.</w:t>
      </w:r>
      <w:r w:rsidR="00973577" w:rsidRPr="00973577">
        <w:rPr>
          <w:sz w:val="18"/>
          <w:szCs w:val="18"/>
          <w:lang w:val="en-US" w:eastAsia="en-GB"/>
        </w:rPr>
        <w:t xml:space="preserve"> Girard, N</w:t>
      </w:r>
      <w:r w:rsidR="00973577" w:rsidRPr="00973577">
        <w:rPr>
          <w:sz w:val="18"/>
          <w:szCs w:val="18"/>
          <w:lang w:val="en-US" w:eastAsia="en-GB"/>
        </w:rPr>
        <w:t>.</w:t>
      </w:r>
      <w:r w:rsidR="00973577" w:rsidRPr="00973577">
        <w:rPr>
          <w:sz w:val="18"/>
          <w:szCs w:val="18"/>
          <w:lang w:val="en-US" w:eastAsia="en-GB"/>
        </w:rPr>
        <w:t xml:space="preserve"> Gillet, O</w:t>
      </w:r>
      <w:r w:rsidR="00973577" w:rsidRPr="00973577">
        <w:rPr>
          <w:sz w:val="18"/>
          <w:szCs w:val="18"/>
          <w:lang w:val="en-US" w:eastAsia="en-GB"/>
        </w:rPr>
        <w:t>.</w:t>
      </w:r>
      <w:r w:rsidR="00973577" w:rsidRPr="00973577">
        <w:rPr>
          <w:sz w:val="18"/>
          <w:szCs w:val="18"/>
          <w:lang w:val="en-US" w:eastAsia="en-GB"/>
        </w:rPr>
        <w:t xml:space="preserve"> Maury</w:t>
      </w:r>
      <w:r w:rsidR="00973577" w:rsidRPr="00973577">
        <w:rPr>
          <w:sz w:val="18"/>
          <w:szCs w:val="18"/>
          <w:lang w:val="en-US" w:eastAsia="en-GB"/>
        </w:rPr>
        <w:t xml:space="preserve"> (submitted</w:t>
      </w:r>
      <w:r w:rsidR="00973577">
        <w:rPr>
          <w:sz w:val="18"/>
          <w:szCs w:val="18"/>
          <w:lang w:val="en-US" w:eastAsia="en-GB"/>
        </w:rPr>
        <w:t>).</w:t>
      </w:r>
    </w:p>
    <w:p w:rsidR="006440A4" w:rsidRPr="00646C5E" w:rsidRDefault="006440A4" w:rsidP="006440A4">
      <w:pPr>
        <w:rPr>
          <w:sz w:val="16"/>
          <w:szCs w:val="16"/>
          <w:lang w:val="en-US" w:eastAsia="en-GB"/>
        </w:rPr>
      </w:pPr>
    </w:p>
    <w:p w:rsidR="001866C5" w:rsidRPr="00FA4188" w:rsidRDefault="001866C5" w:rsidP="00574F3A">
      <w:pPr>
        <w:pStyle w:val="Acknowledgement"/>
        <w:rPr>
          <w:lang w:eastAsia="cs-CZ"/>
        </w:rPr>
      </w:pPr>
      <w:r w:rsidRPr="006440A4">
        <w:rPr>
          <w:sz w:val="18"/>
          <w:szCs w:val="18"/>
          <w:lang w:val="fr-FR" w:eastAsia="cs-CZ"/>
        </w:rPr>
        <w:fldChar w:fldCharType="end"/>
      </w:r>
      <w:r w:rsidR="00FA4188" w:rsidRPr="00973577">
        <w:rPr>
          <w:lang w:val="en-US" w:eastAsia="cs-CZ"/>
        </w:rPr>
        <w:t xml:space="preserve"> </w:t>
      </w:r>
      <w:r w:rsidR="00FA4188">
        <w:rPr>
          <w:lang w:eastAsia="cs-CZ"/>
        </w:rPr>
        <w:t xml:space="preserve">Authors </w:t>
      </w:r>
      <w:r w:rsidR="00FA4188" w:rsidRPr="001829F7">
        <w:rPr>
          <w:lang w:val="en-US" w:eastAsia="cs-CZ"/>
        </w:rPr>
        <w:t xml:space="preserve">acknowledge financial supports </w:t>
      </w:r>
      <w:proofErr w:type="spellStart"/>
      <w:r w:rsidR="00FA4188" w:rsidRPr="001829F7">
        <w:rPr>
          <w:lang w:val="en-US" w:eastAsia="cs-CZ"/>
        </w:rPr>
        <w:t>Agence</w:t>
      </w:r>
      <w:proofErr w:type="spellEnd"/>
      <w:r w:rsidR="00FA4188" w:rsidRPr="001829F7">
        <w:rPr>
          <w:lang w:val="en-US" w:eastAsia="cs-CZ"/>
        </w:rPr>
        <w:t xml:space="preserve"> Nationale de la Recherche (ANR Ln23-13-BS07-0007-01</w:t>
      </w:r>
      <w:r w:rsidR="00336C1B">
        <w:rPr>
          <w:lang w:val="en-US" w:eastAsia="cs-CZ"/>
        </w:rPr>
        <w:t xml:space="preserve">; ANR </w:t>
      </w:r>
      <w:proofErr w:type="spellStart"/>
      <w:r w:rsidR="00336C1B" w:rsidRPr="00336C1B">
        <w:rPr>
          <w:lang w:val="en-US" w:eastAsia="cs-CZ"/>
        </w:rPr>
        <w:t>GlowCryst</w:t>
      </w:r>
      <w:proofErr w:type="spellEnd"/>
      <w:r w:rsidR="00336C1B" w:rsidRPr="00336C1B">
        <w:rPr>
          <w:lang w:val="en-US" w:eastAsia="cs-CZ"/>
        </w:rPr>
        <w:t xml:space="preserve"> ANR-23-CE29-0002</w:t>
      </w:r>
      <w:r w:rsidR="00FA4188" w:rsidRPr="001829F7">
        <w:rPr>
          <w:lang w:val="en-US" w:eastAsia="cs-CZ"/>
        </w:rPr>
        <w:t>) and Region Auvergne Rh</w:t>
      </w:r>
      <w:r w:rsidR="00FA4188">
        <w:rPr>
          <w:lang w:val="en-US" w:eastAsia="cs-CZ"/>
        </w:rPr>
        <w:t>ô</w:t>
      </w:r>
      <w:r w:rsidR="00FA4188" w:rsidRPr="001829F7">
        <w:rPr>
          <w:lang w:val="en-US" w:eastAsia="cs-CZ"/>
        </w:rPr>
        <w:t>ne Alpes (</w:t>
      </w:r>
      <w:r w:rsidR="00336C1B">
        <w:rPr>
          <w:lang w:val="en-US" w:eastAsia="cs-CZ"/>
        </w:rPr>
        <w:t>projects</w:t>
      </w:r>
      <w:r w:rsidR="00FA4188" w:rsidRPr="001829F7">
        <w:rPr>
          <w:lang w:val="en-US" w:eastAsia="cs-CZ"/>
        </w:rPr>
        <w:t xml:space="preserve"> Xo4-2.0 and </w:t>
      </w:r>
      <w:proofErr w:type="spellStart"/>
      <w:r w:rsidR="00FA4188" w:rsidRPr="001829F7">
        <w:rPr>
          <w:lang w:val="en-US" w:eastAsia="cs-CZ"/>
        </w:rPr>
        <w:t>C</w:t>
      </w:r>
      <w:r w:rsidR="00FA4188">
        <w:rPr>
          <w:lang w:val="en-US" w:eastAsia="cs-CZ"/>
        </w:rPr>
        <w:t>rysfrag</w:t>
      </w:r>
      <w:proofErr w:type="spellEnd"/>
      <w:r w:rsidR="00FA4188" w:rsidRPr="001829F7">
        <w:rPr>
          <w:lang w:val="en-US" w:eastAsia="cs-CZ"/>
        </w:rPr>
        <w:t>).</w:t>
      </w:r>
    </w:p>
    <w:sectPr w:rsidR="001866C5" w:rsidRPr="00FA4188">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03435" w:rsidRDefault="00F03435">
      <w:pPr>
        <w:spacing w:after="0"/>
      </w:pPr>
      <w:r>
        <w:separator/>
      </w:r>
    </w:p>
  </w:endnote>
  <w:endnote w:type="continuationSeparator" w:id="0">
    <w:p w:rsidR="00F03435" w:rsidRDefault="00F034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42D9" w:rsidRDefault="00000000">
    <w:pPr>
      <w:pStyle w:val="Pieddepage"/>
    </w:pPr>
    <w:r>
      <w:t xml:space="preserve">Acta </w:t>
    </w:r>
    <w:proofErr w:type="spellStart"/>
    <w:r>
      <w:t>Cryst</w:t>
    </w:r>
    <w:proofErr w:type="spellEnd"/>
    <w:r>
      <w:t>. (2025). A81, e1</w:t>
    </w:r>
  </w:p>
  <w:p w:rsidR="008F42D9" w:rsidRDefault="008F42D9">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03435" w:rsidRDefault="00F03435">
      <w:pPr>
        <w:spacing w:after="0"/>
      </w:pPr>
      <w:r>
        <w:separator/>
      </w:r>
    </w:p>
  </w:footnote>
  <w:footnote w:type="continuationSeparator" w:id="0">
    <w:p w:rsidR="00F03435" w:rsidRDefault="00F034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42D9" w:rsidRDefault="00000000">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D9"/>
    <w:rsid w:val="00175511"/>
    <w:rsid w:val="001866C5"/>
    <w:rsid w:val="00250DA5"/>
    <w:rsid w:val="002C48D9"/>
    <w:rsid w:val="00336C1B"/>
    <w:rsid w:val="00574F3A"/>
    <w:rsid w:val="00576D99"/>
    <w:rsid w:val="006440A4"/>
    <w:rsid w:val="00646C5E"/>
    <w:rsid w:val="00692ADA"/>
    <w:rsid w:val="00760761"/>
    <w:rsid w:val="008F42D9"/>
    <w:rsid w:val="00973577"/>
    <w:rsid w:val="009B5063"/>
    <w:rsid w:val="00A12856"/>
    <w:rsid w:val="00A81CD7"/>
    <w:rsid w:val="00AD2175"/>
    <w:rsid w:val="00B87CC8"/>
    <w:rsid w:val="00D9555A"/>
    <w:rsid w:val="00F03435"/>
    <w:rsid w:val="00FA418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91F2A"/>
  <w15:docId w15:val="{DEF24960-C538-2E4F-8C7A-1BBD190C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Titre1">
    <w:name w:val="heading 1"/>
    <w:basedOn w:val="Normal"/>
    <w:next w:val="Titre2"/>
    <w:link w:val="Titre1Car"/>
    <w:uiPriority w:val="99"/>
    <w:qFormat/>
    <w:rsid w:val="00925275"/>
    <w:pPr>
      <w:keepNext/>
      <w:spacing w:before="240" w:after="60"/>
      <w:jc w:val="center"/>
      <w:outlineLvl w:val="0"/>
    </w:pPr>
    <w:rPr>
      <w:rFonts w:ascii="Arial" w:hAnsi="Arial" w:cs="Arial"/>
      <w:b/>
      <w:bCs/>
      <w:kern w:val="2"/>
      <w:sz w:val="24"/>
      <w:szCs w:val="32"/>
    </w:rPr>
  </w:style>
  <w:style w:type="paragraph" w:styleId="Titre2">
    <w:name w:val="heading 2"/>
    <w:basedOn w:val="Normal"/>
    <w:next w:val="Titre3"/>
    <w:link w:val="Titre2Car"/>
    <w:uiPriority w:val="99"/>
    <w:qFormat/>
    <w:rsid w:val="00925275"/>
    <w:pPr>
      <w:keepNext/>
      <w:spacing w:before="240" w:after="240"/>
      <w:jc w:val="center"/>
      <w:outlineLvl w:val="1"/>
    </w:pPr>
    <w:rPr>
      <w:rFonts w:ascii="Arial" w:hAnsi="Arial" w:cs="Arial"/>
      <w:b/>
      <w:bCs/>
      <w:iCs/>
      <w:szCs w:val="28"/>
    </w:rPr>
  </w:style>
  <w:style w:type="paragraph" w:styleId="Titre3">
    <w:name w:val="heading 3"/>
    <w:basedOn w:val="Normal"/>
    <w:next w:val="Normal"/>
    <w:link w:val="Titre3Car"/>
    <w:uiPriority w:val="99"/>
    <w:qFormat/>
    <w:rsid w:val="002E03DB"/>
    <w:pPr>
      <w:keepNext/>
      <w:jc w:val="center"/>
      <w:outlineLvl w:val="2"/>
    </w:pPr>
    <w:rPr>
      <w:bCs/>
      <w:i/>
      <w:szCs w:val="24"/>
      <w:lang w:eastAsia="cs-CZ"/>
    </w:rPr>
  </w:style>
  <w:style w:type="paragraph" w:styleId="Titre4">
    <w:name w:val="heading 4"/>
    <w:basedOn w:val="Normal"/>
    <w:next w:val="Normal"/>
    <w:link w:val="Titre4Car"/>
    <w:uiPriority w:val="99"/>
    <w:qFormat/>
    <w:rsid w:val="00FF732E"/>
    <w:pPr>
      <w:keepNext/>
      <w:ind w:left="567" w:hanging="567"/>
      <w:outlineLvl w:val="3"/>
    </w:pPr>
    <w:rPr>
      <w:bCs/>
      <w:sz w:val="18"/>
      <w:szCs w:val="24"/>
      <w:lang w:eastAsia="cs-CZ"/>
    </w:rPr>
  </w:style>
  <w:style w:type="paragraph" w:styleId="Titre5">
    <w:name w:val="heading 5"/>
    <w:basedOn w:val="Titre6"/>
    <w:next w:val="Normal"/>
    <w:link w:val="Titre5Car"/>
    <w:uiPriority w:val="9"/>
    <w:unhideWhenUsed/>
    <w:qFormat/>
    <w:rsid w:val="00605A18"/>
    <w:pPr>
      <w:outlineLvl w:val="4"/>
    </w:pPr>
    <w:rPr>
      <w:b/>
    </w:rPr>
  </w:style>
  <w:style w:type="paragraph" w:styleId="Titre6">
    <w:name w:val="heading 6"/>
    <w:basedOn w:val="Normal"/>
    <w:next w:val="Normal"/>
    <w:link w:val="Titre6Car"/>
    <w:uiPriority w:val="9"/>
    <w:unhideWhenUsed/>
    <w:qFormat/>
    <w:rsid w:val="00777DA8"/>
    <w:pPr>
      <w:spacing w:after="60"/>
      <w:jc w:val="center"/>
      <w:outlineLvl w:val="5"/>
    </w:pPr>
    <w:rPr>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qFormat/>
    <w:locked/>
    <w:rsid w:val="00925275"/>
    <w:rPr>
      <w:rFonts w:ascii="Arial" w:hAnsi="Arial" w:cs="Arial"/>
      <w:b/>
      <w:bCs/>
      <w:kern w:val="2"/>
      <w:sz w:val="24"/>
      <w:szCs w:val="32"/>
      <w:lang w:val="en-GB" w:eastAsia="de-DE"/>
    </w:rPr>
  </w:style>
  <w:style w:type="character" w:customStyle="1" w:styleId="Titre2Car">
    <w:name w:val="Titre 2 Car"/>
    <w:link w:val="Titre2"/>
    <w:uiPriority w:val="99"/>
    <w:qFormat/>
    <w:locked/>
    <w:rsid w:val="00925275"/>
    <w:rPr>
      <w:rFonts w:ascii="Arial" w:hAnsi="Arial" w:cs="Arial"/>
      <w:b/>
      <w:bCs/>
      <w:iCs/>
      <w:sz w:val="22"/>
      <w:szCs w:val="28"/>
      <w:lang w:val="en-GB" w:eastAsia="de-DE"/>
    </w:rPr>
  </w:style>
  <w:style w:type="character" w:customStyle="1" w:styleId="Titre3Car">
    <w:name w:val="Titre 3 Car"/>
    <w:link w:val="Titre3"/>
    <w:uiPriority w:val="99"/>
    <w:qFormat/>
    <w:locked/>
    <w:rsid w:val="002E03DB"/>
    <w:rPr>
      <w:bCs/>
      <w:i/>
      <w:sz w:val="22"/>
      <w:szCs w:val="24"/>
      <w:lang w:val="en-GB"/>
    </w:rPr>
  </w:style>
  <w:style w:type="character" w:customStyle="1" w:styleId="Titre4Car">
    <w:name w:val="Titre 4 Car"/>
    <w:link w:val="Titre4"/>
    <w:uiPriority w:val="99"/>
    <w:qFormat/>
    <w:locked/>
    <w:rsid w:val="00FF732E"/>
    <w:rPr>
      <w:bCs/>
      <w:sz w:val="18"/>
      <w:szCs w:val="24"/>
      <w:lang w:val="en-GB"/>
    </w:rPr>
  </w:style>
  <w:style w:type="character" w:customStyle="1" w:styleId="AdresseHTMLCar">
    <w:name w:val="Adresse HTML Car"/>
    <w:link w:val="AdresseHTML"/>
    <w:uiPriority w:val="99"/>
    <w:semiHidden/>
    <w:qFormat/>
    <w:rsid w:val="005E6DCD"/>
    <w:rPr>
      <w:i/>
      <w:iCs/>
      <w:lang w:val="de-DE" w:eastAsia="de-DE"/>
    </w:rPr>
  </w:style>
  <w:style w:type="character" w:customStyle="1" w:styleId="Titre5Car">
    <w:name w:val="Titre 5 Car"/>
    <w:link w:val="Titre5"/>
    <w:uiPriority w:val="9"/>
    <w:qFormat/>
    <w:rsid w:val="00605A18"/>
    <w:rPr>
      <w:b/>
      <w:bCs/>
      <w:szCs w:val="22"/>
      <w:lang w:val="en-GB" w:eastAsia="de-DE"/>
    </w:rPr>
  </w:style>
  <w:style w:type="character" w:customStyle="1" w:styleId="Titre6Car">
    <w:name w:val="Titre 6 Car"/>
    <w:link w:val="Titre6"/>
    <w:uiPriority w:val="9"/>
    <w:qFormat/>
    <w:rsid w:val="00777DA8"/>
    <w:rPr>
      <w:rFonts w:eastAsia="Times New Roman" w:cs="Times New Roman"/>
      <w:bCs/>
      <w:szCs w:val="22"/>
      <w:lang w:val="de-DE" w:eastAsia="de-DE"/>
    </w:rPr>
  </w:style>
  <w:style w:type="character" w:customStyle="1" w:styleId="En-tteCar">
    <w:name w:val="En-tête Car"/>
    <w:link w:val="En-tte"/>
    <w:uiPriority w:val="99"/>
    <w:qFormat/>
    <w:rsid w:val="00D13351"/>
    <w:rPr>
      <w:lang w:val="en-GB" w:eastAsia="de-DE"/>
    </w:rPr>
  </w:style>
  <w:style w:type="character" w:customStyle="1" w:styleId="PieddepageCar">
    <w:name w:val="Pied de page Car"/>
    <w:link w:val="Pieddepage"/>
    <w:uiPriority w:val="99"/>
    <w:qFormat/>
    <w:rsid w:val="00D13351"/>
    <w:rPr>
      <w:lang w:val="en-GB" w:eastAsia="de-DE"/>
    </w:rPr>
  </w:style>
  <w:style w:type="character" w:customStyle="1" w:styleId="TextedebullesCar">
    <w:name w:val="Texte de bulles Car"/>
    <w:link w:val="Textedebulles"/>
    <w:uiPriority w:val="99"/>
    <w:semiHidden/>
    <w:qFormat/>
    <w:rsid w:val="00C64DBE"/>
    <w:rPr>
      <w:rFonts w:ascii="Tahoma" w:hAnsi="Tahoma" w:cs="Tahoma"/>
      <w:sz w:val="16"/>
      <w:szCs w:val="16"/>
      <w:lang w:val="en-GB" w:eastAsia="de-DE"/>
    </w:rPr>
  </w:style>
  <w:style w:type="paragraph" w:customStyle="1" w:styleId="Heading">
    <w:name w:val="Heading"/>
    <w:basedOn w:val="Normal"/>
    <w:next w:val="Corpsdetexte"/>
    <w:qFormat/>
    <w:pPr>
      <w:keepNext/>
      <w:spacing w:before="24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AdresseHTML">
    <w:name w:val="HTML Address"/>
    <w:basedOn w:val="Normal"/>
    <w:link w:val="AdresseHTMLCar"/>
    <w:uiPriority w:val="99"/>
    <w:semiHidden/>
    <w:unhideWhenUsed/>
    <w:qFormat/>
    <w:rsid w:val="005E6DCD"/>
    <w:rPr>
      <w:i/>
      <w:iCs/>
    </w:rPr>
  </w:style>
  <w:style w:type="paragraph" w:customStyle="1" w:styleId="HeaderandFooter">
    <w:name w:val="Header and Footer"/>
    <w:basedOn w:val="Normal"/>
    <w:qFormat/>
  </w:style>
  <w:style w:type="paragraph" w:styleId="En-tte">
    <w:name w:val="header"/>
    <w:basedOn w:val="Normal"/>
    <w:link w:val="En-tteCar"/>
    <w:uiPriority w:val="99"/>
    <w:unhideWhenUsed/>
    <w:rsid w:val="00D13351"/>
    <w:pPr>
      <w:tabs>
        <w:tab w:val="center" w:pos="4536"/>
        <w:tab w:val="right" w:pos="9072"/>
      </w:tabs>
    </w:pPr>
  </w:style>
  <w:style w:type="paragraph" w:styleId="Pieddepage">
    <w:name w:val="footer"/>
    <w:basedOn w:val="Normal"/>
    <w:link w:val="PieddepageCar"/>
    <w:uiPriority w:val="99"/>
    <w:unhideWhenUsed/>
    <w:rsid w:val="00D13351"/>
    <w:pPr>
      <w:tabs>
        <w:tab w:val="center" w:pos="4536"/>
        <w:tab w:val="right" w:pos="9072"/>
      </w:tabs>
    </w:pPr>
  </w:style>
  <w:style w:type="paragraph" w:styleId="Textedebulles">
    <w:name w:val="Balloon Text"/>
    <w:basedOn w:val="Normal"/>
    <w:link w:val="TextedebullesCar"/>
    <w:uiPriority w:val="99"/>
    <w:semiHidden/>
    <w:unhideWhenUsed/>
    <w:qFormat/>
    <w:rsid w:val="00C64DBE"/>
    <w:pPr>
      <w:spacing w:after="0"/>
    </w:pPr>
    <w:rPr>
      <w:rFonts w:ascii="Tahoma" w:hAnsi="Tahoma" w:cs="Tahoma"/>
      <w:sz w:val="16"/>
      <w:szCs w:val="16"/>
    </w:rPr>
  </w:style>
  <w:style w:type="table" w:styleId="Grilledutableau">
    <w:name w:val="Table Grid"/>
    <w:basedOn w:val="Tableau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ie">
    <w:name w:val="Bibliography"/>
    <w:basedOn w:val="Normal"/>
    <w:next w:val="Normal"/>
    <w:uiPriority w:val="37"/>
    <w:unhideWhenUsed/>
    <w:rsid w:val="001866C5"/>
    <w:pPr>
      <w:tabs>
        <w:tab w:val="left" w:pos="500"/>
      </w:tabs>
      <w:spacing w:after="0"/>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4280</Words>
  <Characters>23545</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Materials Structure</vt:lpstr>
    </vt:vector>
  </TitlesOfParts>
  <Company>MFF UK</Company>
  <LinksUpToDate>false</LinksUpToDate>
  <CharactersWithSpaces>27770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E. Girard</cp:lastModifiedBy>
  <cp:revision>10</cp:revision>
  <dcterms:created xsi:type="dcterms:W3CDTF">2025-05-05T12:31:00Z</dcterms:created>
  <dcterms:modified xsi:type="dcterms:W3CDTF">2025-05-09T09:57:00Z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ZOTERO_PREF_1">
    <vt:lpwstr>&lt;data data-version="3" zotero-version="7.0.13"&gt;&lt;session id="PI8DoxuY"/&gt;&lt;style id="http://www.zotero.org/styles/angewandte-chemie" hasBibliography="1" bibliographyStyleHasBeenSet="1"/&gt;&lt;prefs&gt;&lt;pref name="fieldType" value="Field"/&gt;&lt;/prefs&gt;&lt;/data&gt;</vt:lpwstr>
  </property>
</Properties>
</file>