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85D1" w14:textId="3F1A40FB" w:rsidR="00075092" w:rsidRDefault="002D377D">
      <w:pPr>
        <w:pStyle w:val="Nagwek1"/>
      </w:pPr>
      <w:r>
        <w:rPr>
          <w:lang w:val="pt-BR"/>
        </w:rPr>
        <w:t>The potential of microwaves and mechanochemistry in obtaining novel multicomponent forms of t</w:t>
      </w:r>
      <w:r w:rsidR="003075EC" w:rsidRPr="003075EC">
        <w:rPr>
          <w:lang w:val="pt-BR"/>
        </w:rPr>
        <w:t xml:space="preserve">heophylline </w:t>
      </w:r>
      <w:r>
        <w:rPr>
          <w:lang w:val="pt-BR"/>
        </w:rPr>
        <w:t>w</w:t>
      </w:r>
      <w:r w:rsidR="00F043EA">
        <w:rPr>
          <w:lang w:val="pt-BR"/>
        </w:rPr>
        <w:t>ith</w:t>
      </w:r>
      <w:r>
        <w:rPr>
          <w:lang w:val="pt-BR"/>
        </w:rPr>
        <w:t xml:space="preserve"> benzene-1,2,4,5-tetracarboxylic acid as a c</w:t>
      </w:r>
      <w:r w:rsidR="003075EC" w:rsidRPr="003075EC">
        <w:rPr>
          <w:lang w:val="pt-BR"/>
        </w:rPr>
        <w:t>oforme</w:t>
      </w:r>
      <w:r w:rsidR="003075EC">
        <w:rPr>
          <w:lang w:val="pt-BR"/>
        </w:rPr>
        <w:t>r</w:t>
      </w:r>
      <w:r w:rsidR="003075EC">
        <w:t xml:space="preserve"> </w:t>
      </w:r>
    </w:p>
    <w:p w14:paraId="080B7247" w14:textId="44140276" w:rsidR="00075092" w:rsidRPr="003075EC" w:rsidRDefault="003075EC">
      <w:pPr>
        <w:pStyle w:val="Nagwek2"/>
      </w:pPr>
      <w:r>
        <w:t>M. Gołdyn</w:t>
      </w:r>
      <w:r>
        <w:rPr>
          <w:vertAlign w:val="superscript"/>
        </w:rPr>
        <w:t>1,2</w:t>
      </w:r>
      <w:r>
        <w:t>, E. Bartoszak-Adamska</w:t>
      </w:r>
      <w:r w:rsidR="00AD7F5C">
        <w:rPr>
          <w:vertAlign w:val="superscript"/>
        </w:rPr>
        <w:t>2</w:t>
      </w:r>
      <w:r>
        <w:t>, W. Nowak</w:t>
      </w:r>
      <w:r w:rsidR="00AD7F5C">
        <w:rPr>
          <w:vertAlign w:val="superscript"/>
        </w:rPr>
        <w:t>2</w:t>
      </w:r>
      <w:r>
        <w:t>, O. Grupa</w:t>
      </w:r>
      <w:r w:rsidR="00AD7F5C">
        <w:rPr>
          <w:vertAlign w:val="superscript"/>
        </w:rPr>
        <w:t>2</w:t>
      </w:r>
    </w:p>
    <w:p w14:paraId="29873AC6" w14:textId="13975848" w:rsidR="003075EC" w:rsidRDefault="003075EC" w:rsidP="002D377D">
      <w:pPr>
        <w:pStyle w:val="Nagwek3"/>
      </w:pPr>
      <w:r>
        <w:rPr>
          <w:vertAlign w:val="superscript"/>
        </w:rPr>
        <w:t>1</w:t>
      </w:r>
      <w:r w:rsidRPr="00D76C65">
        <w:rPr>
          <w:rFonts w:eastAsia="SimSun"/>
          <w:kern w:val="2"/>
          <w:sz w:val="18"/>
          <w:szCs w:val="18"/>
          <w:lang w:eastAsia="zh-CN"/>
        </w:rPr>
        <w:t xml:space="preserve"> </w:t>
      </w:r>
      <w:proofErr w:type="spellStart"/>
      <w:r w:rsidRPr="00D76C65">
        <w:rPr>
          <w:rFonts w:eastAsia="SimSun"/>
          <w:kern w:val="2"/>
          <w:sz w:val="18"/>
          <w:szCs w:val="18"/>
          <w:lang w:eastAsia="zh-CN"/>
        </w:rPr>
        <w:t>Center</w:t>
      </w:r>
      <w:proofErr w:type="spellEnd"/>
      <w:r w:rsidRPr="00D76C65">
        <w:rPr>
          <w:rFonts w:eastAsia="SimSun"/>
          <w:kern w:val="2"/>
          <w:sz w:val="18"/>
          <w:szCs w:val="18"/>
          <w:lang w:eastAsia="zh-CN"/>
        </w:rPr>
        <w:t xml:space="preserve"> for Advanced Technologies, Ada</w:t>
      </w:r>
      <w:r w:rsidR="002D377D">
        <w:rPr>
          <w:rFonts w:eastAsia="SimSun"/>
          <w:kern w:val="2"/>
          <w:sz w:val="18"/>
          <w:szCs w:val="18"/>
          <w:lang w:eastAsia="zh-CN"/>
        </w:rPr>
        <w:t>m Mickiewicz University</w:t>
      </w:r>
      <w:r w:rsidRPr="00D76C65">
        <w:rPr>
          <w:rFonts w:eastAsia="SimSun"/>
          <w:kern w:val="2"/>
          <w:sz w:val="18"/>
          <w:szCs w:val="18"/>
          <w:lang w:eastAsia="zh-CN"/>
        </w:rPr>
        <w:t xml:space="preserve">, </w:t>
      </w:r>
      <w:proofErr w:type="spellStart"/>
      <w:r w:rsidRPr="00D76C65">
        <w:rPr>
          <w:rFonts w:eastAsia="SimSun"/>
          <w:kern w:val="2"/>
          <w:sz w:val="18"/>
          <w:szCs w:val="18"/>
          <w:lang w:eastAsia="zh-CN"/>
        </w:rPr>
        <w:t>Uniwersytetu</w:t>
      </w:r>
      <w:proofErr w:type="spellEnd"/>
      <w:r w:rsidRPr="00D76C65">
        <w:rPr>
          <w:rFonts w:eastAsia="SimSun"/>
          <w:kern w:val="2"/>
          <w:sz w:val="18"/>
          <w:szCs w:val="18"/>
          <w:lang w:eastAsia="zh-CN"/>
        </w:rPr>
        <w:t xml:space="preserve"> </w:t>
      </w:r>
      <w:proofErr w:type="spellStart"/>
      <w:r w:rsidRPr="00D76C65">
        <w:rPr>
          <w:rFonts w:eastAsia="SimSun"/>
          <w:kern w:val="2"/>
          <w:sz w:val="18"/>
          <w:szCs w:val="18"/>
          <w:lang w:eastAsia="zh-CN"/>
        </w:rPr>
        <w:t>Poznańskiego</w:t>
      </w:r>
      <w:proofErr w:type="spellEnd"/>
      <w:r w:rsidRPr="00D76C65">
        <w:rPr>
          <w:rFonts w:eastAsia="SimSun"/>
          <w:kern w:val="2"/>
          <w:sz w:val="18"/>
          <w:szCs w:val="18"/>
          <w:lang w:eastAsia="zh-CN"/>
        </w:rPr>
        <w:t xml:space="preserve"> 10,</w:t>
      </w:r>
      <w:r w:rsidR="002D377D">
        <w:rPr>
          <w:rFonts w:eastAsia="SimSun"/>
          <w:kern w:val="2"/>
          <w:sz w:val="18"/>
          <w:szCs w:val="18"/>
          <w:lang w:eastAsia="zh-CN"/>
        </w:rPr>
        <w:t xml:space="preserve"> 61-614 </w:t>
      </w:r>
      <w:proofErr w:type="spellStart"/>
      <w:r w:rsidR="002D377D">
        <w:rPr>
          <w:rFonts w:eastAsia="SimSun"/>
          <w:kern w:val="2"/>
          <w:sz w:val="18"/>
          <w:szCs w:val="18"/>
          <w:lang w:eastAsia="zh-CN"/>
        </w:rPr>
        <w:t>Poznań</w:t>
      </w:r>
      <w:proofErr w:type="spellEnd"/>
      <w:r w:rsidRPr="00D76C65">
        <w:rPr>
          <w:rFonts w:eastAsia="SimSun"/>
          <w:kern w:val="2"/>
          <w:sz w:val="18"/>
          <w:szCs w:val="18"/>
          <w:lang w:eastAsia="zh-CN"/>
        </w:rPr>
        <w:t>, Poland</w:t>
      </w:r>
      <w:r w:rsidR="002D377D">
        <w:t>,</w:t>
      </w:r>
      <w:r>
        <w:rPr>
          <w:rFonts w:eastAsia="SimSun"/>
          <w:kern w:val="2"/>
          <w:sz w:val="18"/>
          <w:szCs w:val="18"/>
          <w:lang w:eastAsia="zh-CN"/>
        </w:rPr>
        <w:br/>
      </w:r>
      <w:r w:rsidR="002D377D">
        <w:rPr>
          <w:rFonts w:eastAsia="SimSun"/>
          <w:kern w:val="2"/>
          <w:sz w:val="18"/>
          <w:szCs w:val="18"/>
          <w:vertAlign w:val="superscript"/>
          <w:lang w:eastAsia="zh-CN"/>
        </w:rPr>
        <w:t>2</w:t>
      </w:r>
      <w:r w:rsidR="002D377D">
        <w:rPr>
          <w:rFonts w:eastAsia="SimSun"/>
          <w:kern w:val="2"/>
          <w:sz w:val="18"/>
          <w:szCs w:val="18"/>
          <w:lang w:eastAsia="zh-CN"/>
        </w:rPr>
        <w:t xml:space="preserve">Faculty </w:t>
      </w:r>
      <w:r w:rsidRPr="00D76C65">
        <w:rPr>
          <w:rFonts w:eastAsia="SimSun"/>
          <w:kern w:val="2"/>
          <w:sz w:val="18"/>
          <w:szCs w:val="18"/>
          <w:lang w:eastAsia="zh-CN"/>
        </w:rPr>
        <w:t>of Chemistry, Adam</w:t>
      </w:r>
      <w:r w:rsidR="002D377D">
        <w:rPr>
          <w:rFonts w:eastAsia="SimSun"/>
          <w:kern w:val="2"/>
          <w:sz w:val="18"/>
          <w:szCs w:val="18"/>
          <w:lang w:eastAsia="zh-CN"/>
        </w:rPr>
        <w:t xml:space="preserve"> Mickiewicz University</w:t>
      </w:r>
      <w:r w:rsidRPr="00D76C65">
        <w:rPr>
          <w:rFonts w:eastAsia="SimSun"/>
          <w:kern w:val="2"/>
          <w:sz w:val="18"/>
          <w:szCs w:val="18"/>
          <w:lang w:eastAsia="zh-CN"/>
        </w:rPr>
        <w:t xml:space="preserve">, </w:t>
      </w:r>
      <w:proofErr w:type="spellStart"/>
      <w:r w:rsidRPr="00D76C65">
        <w:rPr>
          <w:rFonts w:eastAsia="SimSun"/>
          <w:kern w:val="2"/>
          <w:sz w:val="18"/>
          <w:szCs w:val="18"/>
          <w:lang w:eastAsia="zh-CN"/>
        </w:rPr>
        <w:t>Uniwersytetu</w:t>
      </w:r>
      <w:proofErr w:type="spellEnd"/>
      <w:r w:rsidRPr="00D76C65">
        <w:rPr>
          <w:rFonts w:eastAsia="SimSun"/>
          <w:kern w:val="2"/>
          <w:sz w:val="18"/>
          <w:szCs w:val="18"/>
          <w:lang w:eastAsia="zh-CN"/>
        </w:rPr>
        <w:t xml:space="preserve"> </w:t>
      </w:r>
      <w:proofErr w:type="spellStart"/>
      <w:r w:rsidRPr="00D76C65">
        <w:rPr>
          <w:rFonts w:eastAsia="SimSun"/>
          <w:kern w:val="2"/>
          <w:sz w:val="18"/>
          <w:szCs w:val="18"/>
          <w:lang w:eastAsia="zh-CN"/>
        </w:rPr>
        <w:t>Poznańskiego</w:t>
      </w:r>
      <w:proofErr w:type="spellEnd"/>
      <w:r w:rsidRPr="00D76C65">
        <w:rPr>
          <w:rFonts w:eastAsia="SimSun"/>
          <w:kern w:val="2"/>
          <w:sz w:val="18"/>
          <w:szCs w:val="18"/>
          <w:lang w:eastAsia="zh-CN"/>
        </w:rPr>
        <w:t xml:space="preserve"> 8, </w:t>
      </w:r>
      <w:r w:rsidR="002D377D">
        <w:rPr>
          <w:rFonts w:eastAsia="SimSun"/>
          <w:kern w:val="2"/>
          <w:sz w:val="18"/>
          <w:szCs w:val="18"/>
          <w:lang w:eastAsia="zh-CN"/>
        </w:rPr>
        <w:t xml:space="preserve">61-614 </w:t>
      </w:r>
      <w:proofErr w:type="spellStart"/>
      <w:r w:rsidR="002D377D">
        <w:rPr>
          <w:rFonts w:eastAsia="SimSun"/>
          <w:kern w:val="2"/>
          <w:sz w:val="18"/>
          <w:szCs w:val="18"/>
          <w:lang w:eastAsia="zh-CN"/>
        </w:rPr>
        <w:t>Poznań</w:t>
      </w:r>
      <w:proofErr w:type="spellEnd"/>
      <w:r w:rsidRPr="00D76C65">
        <w:rPr>
          <w:rFonts w:eastAsia="SimSun"/>
          <w:kern w:val="2"/>
          <w:sz w:val="18"/>
          <w:szCs w:val="18"/>
          <w:lang w:eastAsia="zh-CN"/>
        </w:rPr>
        <w:t>, Poland</w:t>
      </w:r>
      <w:r>
        <w:t xml:space="preserve"> </w:t>
      </w:r>
    </w:p>
    <w:p w14:paraId="3DB04E12" w14:textId="33304406" w:rsidR="00075092" w:rsidRDefault="00B419FD">
      <w:pPr>
        <w:pStyle w:val="Nagwek3"/>
        <w:rPr>
          <w:sz w:val="18"/>
          <w:szCs w:val="18"/>
        </w:rPr>
      </w:pPr>
      <w:r>
        <w:t>e</w:t>
      </w:r>
      <w:bookmarkStart w:id="0" w:name="_GoBack"/>
      <w:bookmarkEnd w:id="0"/>
      <w:r>
        <w:t>lzbieta.bartoszak-adamska</w:t>
      </w:r>
      <w:r w:rsidR="003075EC">
        <w:t>@amu.edu.pl</w:t>
      </w:r>
      <w:r w:rsidR="003075EC">
        <w:rPr>
          <w:lang w:eastAsia="de-DE"/>
        </w:rPr>
        <w:br/>
      </w:r>
    </w:p>
    <w:p w14:paraId="5E609211" w14:textId="77777777" w:rsidR="002D377D" w:rsidRDefault="003075EC" w:rsidP="003075EC">
      <w:pPr>
        <w:rPr>
          <w:lang w:val="pt-BR"/>
        </w:rPr>
      </w:pPr>
      <w:r w:rsidRPr="003075EC">
        <w:rPr>
          <w:lang w:val="pt-BR"/>
        </w:rPr>
        <w:t xml:space="preserve">Cocrystals are multicomponent crystalline materials composed of two or more neutral molecules in a defined stoichiometric ratio, stabilized by non-covalent interactions [1]. They are widely explored in pharmaceutical solid-state engineering to modulate </w:t>
      </w:r>
      <w:r w:rsidR="00AD7F5C">
        <w:rPr>
          <w:lang w:val="pt-BR"/>
        </w:rPr>
        <w:t xml:space="preserve">the </w:t>
      </w:r>
      <w:r w:rsidRPr="003075EC">
        <w:rPr>
          <w:lang w:val="pt-BR"/>
        </w:rPr>
        <w:t>physicochemical properties of active pharmaceutical ingredients (APIs), such as solubility, stability, and thermal behavior, without altering their pharmacological activity [2].</w:t>
      </w:r>
    </w:p>
    <w:p w14:paraId="54F1E1FE" w14:textId="682B40C4" w:rsidR="003075EC" w:rsidRPr="003075EC" w:rsidRDefault="00AD7F5C" w:rsidP="003075EC">
      <w:pPr>
        <w:rPr>
          <w:lang w:val="pt-BR"/>
        </w:rPr>
      </w:pPr>
      <w:r>
        <w:rPr>
          <w:lang w:val="pt-BR"/>
        </w:rPr>
        <w:t>The p</w:t>
      </w:r>
      <w:r w:rsidR="003075EC" w:rsidRPr="003075EC">
        <w:rPr>
          <w:lang w:val="pt-BR"/>
        </w:rPr>
        <w:t>resented study focuses on the theophylline – benzene-1,2,4,5-tetracarboxylic acid (</w:t>
      </w:r>
      <w:r w:rsidR="003075EC" w:rsidRPr="003075EC">
        <w:rPr>
          <w:b/>
          <w:bCs/>
          <w:lang w:val="pt-BR"/>
        </w:rPr>
        <w:t>TPH</w:t>
      </w:r>
      <w:r w:rsidR="003075EC" w:rsidRPr="003075EC">
        <w:rPr>
          <w:lang w:val="pt-BR"/>
        </w:rPr>
        <w:t xml:space="preserve"> – </w:t>
      </w:r>
      <w:r w:rsidR="003075EC" w:rsidRPr="003075EC">
        <w:rPr>
          <w:b/>
          <w:bCs/>
          <w:lang w:val="pt-BR"/>
        </w:rPr>
        <w:t>PMLA</w:t>
      </w:r>
      <w:r w:rsidR="003075EC" w:rsidRPr="003075EC">
        <w:rPr>
          <w:lang w:val="pt-BR"/>
        </w:rPr>
        <w:t>) system, in which four distinct crystalline forms were identified: two polymorphic 2:1 cocrystals (</w:t>
      </w:r>
      <w:r w:rsidR="003075EC" w:rsidRPr="003075EC">
        <w:rPr>
          <w:b/>
          <w:bCs/>
          <w:lang w:val="pt-BR"/>
        </w:rPr>
        <w:t>TPH</w:t>
      </w:r>
      <w:r w:rsidR="003075EC" w:rsidRPr="003075EC">
        <w:rPr>
          <w:lang w:val="pt-BR"/>
        </w:rPr>
        <w:t>·</w:t>
      </w:r>
      <w:r w:rsidR="003075EC" w:rsidRPr="003075EC">
        <w:rPr>
          <w:b/>
          <w:bCs/>
          <w:lang w:val="pt-BR"/>
        </w:rPr>
        <w:t>PMLA</w:t>
      </w:r>
      <w:r w:rsidR="003075EC" w:rsidRPr="003075EC">
        <w:rPr>
          <w:lang w:val="pt-BR"/>
        </w:rPr>
        <w:t xml:space="preserve"> I and II</w:t>
      </w:r>
      <w:r>
        <w:rPr>
          <w:lang w:val="pt-BR"/>
        </w:rPr>
        <w:t>, Fig. 1</w:t>
      </w:r>
      <w:r w:rsidR="003075EC" w:rsidRPr="003075EC">
        <w:rPr>
          <w:lang w:val="pt-BR"/>
        </w:rPr>
        <w:t>), and two cocrystal solvates incorporating water (</w:t>
      </w:r>
      <w:r w:rsidR="003075EC" w:rsidRPr="003075EC">
        <w:rPr>
          <w:b/>
          <w:bCs/>
          <w:lang w:val="pt-BR"/>
        </w:rPr>
        <w:t>TPH</w:t>
      </w:r>
      <w:r w:rsidR="003075EC" w:rsidRPr="003075EC">
        <w:rPr>
          <w:lang w:val="pt-BR"/>
        </w:rPr>
        <w:t>·</w:t>
      </w:r>
      <w:r w:rsidR="003075EC" w:rsidRPr="003075EC">
        <w:rPr>
          <w:b/>
          <w:bCs/>
          <w:lang w:val="pt-BR"/>
        </w:rPr>
        <w:t>PMLA</w:t>
      </w:r>
      <w:r w:rsidR="003075EC" w:rsidRPr="003075EC">
        <w:rPr>
          <w:lang w:val="pt-BR"/>
        </w:rPr>
        <w:t>·</w:t>
      </w:r>
      <w:r w:rsidR="003075EC" w:rsidRPr="003075EC">
        <w:rPr>
          <w:b/>
          <w:bCs/>
          <w:lang w:val="pt-BR"/>
        </w:rPr>
        <w:t>H</w:t>
      </w:r>
      <w:r w:rsidR="003075EC" w:rsidRPr="003075EC">
        <w:rPr>
          <w:b/>
          <w:bCs/>
          <w:vertAlign w:val="subscript"/>
          <w:lang w:val="pt-BR"/>
        </w:rPr>
        <w:t>2</w:t>
      </w:r>
      <w:r w:rsidR="003075EC" w:rsidRPr="003075EC">
        <w:rPr>
          <w:b/>
          <w:bCs/>
          <w:lang w:val="pt-BR"/>
        </w:rPr>
        <w:t>O</w:t>
      </w:r>
      <w:r w:rsidR="003075EC" w:rsidRPr="003075EC">
        <w:rPr>
          <w:lang w:val="pt-BR"/>
        </w:rPr>
        <w:t xml:space="preserve"> 1:1:2) and methanol (</w:t>
      </w:r>
      <w:r w:rsidR="003075EC" w:rsidRPr="003075EC">
        <w:rPr>
          <w:b/>
          <w:bCs/>
          <w:lang w:val="pt-BR"/>
        </w:rPr>
        <w:t>TPH</w:t>
      </w:r>
      <w:r w:rsidR="003075EC" w:rsidRPr="003075EC">
        <w:rPr>
          <w:lang w:val="pt-BR"/>
        </w:rPr>
        <w:t>·</w:t>
      </w:r>
      <w:r w:rsidR="003075EC" w:rsidRPr="003075EC">
        <w:rPr>
          <w:b/>
          <w:bCs/>
          <w:lang w:val="pt-BR"/>
        </w:rPr>
        <w:t>PMLA</w:t>
      </w:r>
      <w:r w:rsidR="003075EC" w:rsidRPr="003075EC">
        <w:rPr>
          <w:lang w:val="pt-BR"/>
        </w:rPr>
        <w:t>·</w:t>
      </w:r>
      <w:r w:rsidR="003075EC" w:rsidRPr="003075EC">
        <w:rPr>
          <w:b/>
          <w:bCs/>
          <w:lang w:val="pt-BR"/>
        </w:rPr>
        <w:t>MeOH</w:t>
      </w:r>
      <w:r w:rsidR="003075EC" w:rsidRPr="003075EC">
        <w:rPr>
          <w:lang w:val="pt-BR"/>
        </w:rPr>
        <w:t xml:space="preserve"> 2:1:2). These multi-component systems were obtained </w:t>
      </w:r>
      <w:r>
        <w:rPr>
          <w:lang w:val="pt-BR"/>
        </w:rPr>
        <w:t xml:space="preserve">selectively </w:t>
      </w:r>
      <w:r w:rsidR="003075EC" w:rsidRPr="003075EC">
        <w:rPr>
          <w:lang w:val="pt-BR"/>
        </w:rPr>
        <w:t xml:space="preserve">by neat or liquid-assisted grinding and microwave-assisted slurry cocrystallization [3]. These techniques enable rapid, efficient, and solvent-minimizing preparation of cocrystals. Additionally, adjusting the method and conditions </w:t>
      </w:r>
      <w:r>
        <w:rPr>
          <w:lang w:val="pt-BR"/>
        </w:rPr>
        <w:br/>
      </w:r>
      <w:r w:rsidR="003075EC" w:rsidRPr="003075EC">
        <w:rPr>
          <w:lang w:val="pt-BR"/>
        </w:rPr>
        <w:t xml:space="preserve">of cocrystallization allows for the control of obtaining a specific crystal form. Novel phases formation </w:t>
      </w:r>
      <w:r>
        <w:rPr>
          <w:lang w:val="pt-BR"/>
        </w:rPr>
        <w:t>was</w:t>
      </w:r>
      <w:r w:rsidR="003075EC" w:rsidRPr="003075EC">
        <w:rPr>
          <w:lang w:val="pt-BR"/>
        </w:rPr>
        <w:t xml:space="preserve"> confirmed using powder </w:t>
      </w:r>
      <w:r>
        <w:rPr>
          <w:lang w:val="pt-BR"/>
        </w:rPr>
        <w:br/>
      </w:r>
      <w:r w:rsidR="003075EC" w:rsidRPr="003075EC">
        <w:rPr>
          <w:lang w:val="pt-BR"/>
        </w:rPr>
        <w:t>X-ray diffraction. The obtained solids were also structurally characterized by single-crystal X-ray diffraction, revealing diverse supramolecular synthons responsible for the molecular arrangement in the crystal lattice.</w:t>
      </w:r>
      <w:r w:rsidR="003075EC">
        <w:rPr>
          <w:lang w:val="pt-BR"/>
        </w:rPr>
        <w:t xml:space="preserve"> </w:t>
      </w:r>
      <w:r w:rsidR="003075EC" w:rsidRPr="003075EC">
        <w:rPr>
          <w:lang w:val="pt-BR"/>
        </w:rPr>
        <w:t>UV-Vis spectroscopy studies demonstrated that cocrystallization with PMLA could change the aqueous solubility of theophylline, depending on the crystal form. Simultaneous thermal analysis revealed differences in thermal stability among the cocrystals. In turn</w:t>
      </w:r>
      <w:r>
        <w:rPr>
          <w:lang w:val="pt-BR"/>
        </w:rPr>
        <w:t>,</w:t>
      </w:r>
      <w:r w:rsidR="003075EC" w:rsidRPr="003075EC">
        <w:rPr>
          <w:lang w:val="pt-BR"/>
        </w:rPr>
        <w:t xml:space="preserve"> variable-temperature single-crystal X-ray diffraction</w:t>
      </w:r>
      <w:r>
        <w:rPr>
          <w:lang w:val="pt-BR"/>
        </w:rPr>
        <w:t xml:space="preserve"> </w:t>
      </w:r>
      <w:r w:rsidR="003075EC" w:rsidRPr="003075EC">
        <w:rPr>
          <w:lang w:val="pt-BR"/>
        </w:rPr>
        <w:t xml:space="preserve">performed for </w:t>
      </w:r>
      <w:r w:rsidR="003075EC" w:rsidRPr="003075EC">
        <w:rPr>
          <w:b/>
          <w:bCs/>
          <w:lang w:val="pt-BR"/>
        </w:rPr>
        <w:t>TPH</w:t>
      </w:r>
      <w:r w:rsidR="003075EC" w:rsidRPr="003075EC">
        <w:rPr>
          <w:lang w:val="pt-BR"/>
        </w:rPr>
        <w:t>·</w:t>
      </w:r>
      <w:r w:rsidR="003075EC" w:rsidRPr="003075EC">
        <w:rPr>
          <w:b/>
          <w:bCs/>
          <w:lang w:val="pt-BR"/>
        </w:rPr>
        <w:t>PMLA</w:t>
      </w:r>
      <w:r w:rsidR="003075EC" w:rsidRPr="003075EC">
        <w:rPr>
          <w:lang w:val="pt-BR"/>
        </w:rPr>
        <w:t>·</w:t>
      </w:r>
      <w:r w:rsidR="003075EC" w:rsidRPr="003075EC">
        <w:rPr>
          <w:b/>
          <w:bCs/>
          <w:lang w:val="pt-BR"/>
        </w:rPr>
        <w:t>MeOH</w:t>
      </w:r>
      <w:r w:rsidR="003075EC" w:rsidRPr="003075EC">
        <w:rPr>
          <w:lang w:val="pt-BR"/>
        </w:rPr>
        <w:t xml:space="preserve"> adduct revealed negative volumetric thermal expansion and a temperature-induced phase transition of the methanol solvate into cocrystal form [3].</w:t>
      </w:r>
    </w:p>
    <w:p w14:paraId="47CF5440" w14:textId="0759BD84" w:rsidR="00075092" w:rsidRDefault="002D377D">
      <w:pPr>
        <w:jc w:val="center"/>
      </w:pPr>
      <w:r>
        <w:rPr>
          <w:i/>
          <w:noProof/>
          <w:lang w:val="pl-PL" w:eastAsia="pl-PL"/>
        </w:rPr>
        <w:drawing>
          <wp:inline distT="0" distB="0" distL="0" distR="0" wp14:anchorId="4BAC7A3E" wp14:editId="52838AEC">
            <wp:extent cx="3562350" cy="2333625"/>
            <wp:effectExtent l="0" t="0" r="0" b="0"/>
            <wp:docPr id="1" name="Obraz 2" descr="Obraz zawierający tekst, rysowanie, szkic,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rysowanie, szkic, diagram&#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2333625"/>
                    </a:xfrm>
                    <a:prstGeom prst="rect">
                      <a:avLst/>
                    </a:prstGeom>
                    <a:noFill/>
                    <a:ln>
                      <a:noFill/>
                    </a:ln>
                  </pic:spPr>
                </pic:pic>
              </a:graphicData>
            </a:graphic>
          </wp:inline>
        </w:drawing>
      </w:r>
      <w:r>
        <w:rPr>
          <w:noProof/>
          <w:lang w:val="pl-PL" w:eastAsia="pl-PL"/>
        </w:rPr>
        <mc:AlternateContent>
          <mc:Choice Requires="wps">
            <w:drawing>
              <wp:anchor distT="0" distB="0" distL="114300" distR="114300" simplePos="0" relativeHeight="251657728" behindDoc="0" locked="0" layoutInCell="1" allowOverlap="1" wp14:anchorId="7613DA58" wp14:editId="4295C956">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F533D"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p>
    <w:p w14:paraId="4C534CDA" w14:textId="5BD29F2C" w:rsidR="002A492A" w:rsidRPr="002A492A" w:rsidRDefault="00E006AC" w:rsidP="002A492A">
      <w:pPr>
        <w:pStyle w:val="Nagwek6"/>
        <w:rPr>
          <w:sz w:val="18"/>
          <w:szCs w:val="18"/>
        </w:rPr>
      </w:pPr>
      <w:r w:rsidRPr="003075EC">
        <w:rPr>
          <w:b/>
          <w:sz w:val="18"/>
          <w:szCs w:val="18"/>
        </w:rPr>
        <w:t>Figure 1</w:t>
      </w:r>
      <w:r w:rsidRPr="003075EC">
        <w:rPr>
          <w:sz w:val="18"/>
          <w:szCs w:val="18"/>
        </w:rPr>
        <w:t xml:space="preserve">. </w:t>
      </w:r>
      <w:r w:rsidR="003075EC" w:rsidRPr="003075EC">
        <w:rPr>
          <w:sz w:val="18"/>
          <w:szCs w:val="18"/>
        </w:rPr>
        <w:t xml:space="preserve">The influence of the </w:t>
      </w:r>
      <w:proofErr w:type="spellStart"/>
      <w:r w:rsidR="003075EC" w:rsidRPr="003075EC">
        <w:rPr>
          <w:sz w:val="18"/>
          <w:szCs w:val="18"/>
        </w:rPr>
        <w:t>cocrystallization</w:t>
      </w:r>
      <w:proofErr w:type="spellEnd"/>
      <w:r w:rsidR="003075EC" w:rsidRPr="003075EC">
        <w:rPr>
          <w:sz w:val="18"/>
          <w:szCs w:val="18"/>
        </w:rPr>
        <w:t xml:space="preserve"> technique on the selectivity in obtaining polymorphic forms (I and II) of TPH·PMLA 2:1 </w:t>
      </w:r>
      <w:proofErr w:type="spellStart"/>
      <w:r w:rsidR="003075EC" w:rsidRPr="003075EC">
        <w:rPr>
          <w:sz w:val="18"/>
          <w:szCs w:val="18"/>
        </w:rPr>
        <w:t>cocrystals</w:t>
      </w:r>
      <w:proofErr w:type="spellEnd"/>
      <w:r w:rsidR="003075EC" w:rsidRPr="003075EC">
        <w:rPr>
          <w:sz w:val="18"/>
          <w:szCs w:val="18"/>
        </w:rPr>
        <w:t>.</w:t>
      </w:r>
    </w:p>
    <w:p w14:paraId="4100F97A" w14:textId="775CAA8A" w:rsidR="00AD7F5C" w:rsidRPr="003075EC" w:rsidRDefault="00AD7F5C" w:rsidP="00AD7F5C">
      <w:r w:rsidRPr="003075EC">
        <w:t xml:space="preserve">These findings contribute to the understanding of supramolecular interactions governing </w:t>
      </w:r>
      <w:proofErr w:type="spellStart"/>
      <w:r w:rsidRPr="003075EC">
        <w:t>cocrystal</w:t>
      </w:r>
      <w:proofErr w:type="spellEnd"/>
      <w:r w:rsidRPr="003075EC">
        <w:t xml:space="preserve"> formation and stability and underline the importance of </w:t>
      </w:r>
      <w:proofErr w:type="spellStart"/>
      <w:r w:rsidRPr="003075EC">
        <w:t>cocrystallization</w:t>
      </w:r>
      <w:proofErr w:type="spellEnd"/>
      <w:r w:rsidRPr="003075EC">
        <w:t xml:space="preserve"> in tailoring API properties. The work reinforces the value of green synthetic approaches in </w:t>
      </w:r>
      <w:r>
        <w:t xml:space="preserve">developing </w:t>
      </w:r>
      <w:r w:rsidRPr="003075EC">
        <w:t>pharmaceutical solid forms.</w:t>
      </w:r>
    </w:p>
    <w:p w14:paraId="442AC5F2" w14:textId="752E829A" w:rsidR="00075092" w:rsidRDefault="00E006AC">
      <w:pPr>
        <w:pStyle w:val="Nagwek4"/>
      </w:pPr>
      <w:r>
        <w:t xml:space="preserve">[1] </w:t>
      </w:r>
      <w:r w:rsidR="003075EC" w:rsidRPr="003075EC">
        <w:rPr>
          <w:lang w:val="pt-BR"/>
        </w:rPr>
        <w:t xml:space="preserve">Grothe E., Meekes H., Vlieg E., J. H. ter Horst </w:t>
      </w:r>
      <w:r w:rsidR="003075EC">
        <w:rPr>
          <w:lang w:val="pt-BR"/>
        </w:rPr>
        <w:t xml:space="preserve">&amp; </w:t>
      </w:r>
      <w:r w:rsidR="003075EC" w:rsidRPr="003075EC">
        <w:rPr>
          <w:lang w:val="pt-BR"/>
        </w:rPr>
        <w:t>R. de Gelder</w:t>
      </w:r>
      <w:r>
        <w:t xml:space="preserve"> (</w:t>
      </w:r>
      <w:r w:rsidR="003075EC">
        <w:t>2016</w:t>
      </w:r>
      <w:r>
        <w:t xml:space="preserve">). </w:t>
      </w:r>
      <w:proofErr w:type="spellStart"/>
      <w:r w:rsidR="003075EC">
        <w:rPr>
          <w:i/>
        </w:rPr>
        <w:t>Cryst</w:t>
      </w:r>
      <w:proofErr w:type="spellEnd"/>
      <w:r w:rsidR="003075EC">
        <w:rPr>
          <w:i/>
        </w:rPr>
        <w:t xml:space="preserve"> Growth Des</w:t>
      </w:r>
      <w:r>
        <w:rPr>
          <w:i/>
        </w:rPr>
        <w:t>.</w:t>
      </w:r>
      <w:r>
        <w:t xml:space="preserve"> </w:t>
      </w:r>
      <w:r w:rsidR="003075EC">
        <w:rPr>
          <w:b/>
        </w:rPr>
        <w:t>16</w:t>
      </w:r>
      <w:r>
        <w:t xml:space="preserve">, </w:t>
      </w:r>
      <w:r w:rsidR="003075EC">
        <w:t>3237</w:t>
      </w:r>
      <w:r>
        <w:t>.</w:t>
      </w:r>
    </w:p>
    <w:p w14:paraId="37F8B26D" w14:textId="0220A36F" w:rsidR="00075092" w:rsidRDefault="00E006AC">
      <w:pPr>
        <w:pStyle w:val="Nagwek4"/>
      </w:pPr>
      <w:r>
        <w:t xml:space="preserve">[2] </w:t>
      </w:r>
      <w:proofErr w:type="spellStart"/>
      <w:r w:rsidR="003075EC" w:rsidRPr="003075EC">
        <w:rPr>
          <w:lang w:val="en-US"/>
        </w:rPr>
        <w:t>Karagianni</w:t>
      </w:r>
      <w:proofErr w:type="spellEnd"/>
      <w:r w:rsidR="003075EC" w:rsidRPr="003075EC">
        <w:rPr>
          <w:lang w:val="en-US"/>
        </w:rPr>
        <w:t xml:space="preserve"> A., </w:t>
      </w:r>
      <w:proofErr w:type="spellStart"/>
      <w:r w:rsidR="003075EC" w:rsidRPr="003075EC">
        <w:rPr>
          <w:lang w:val="en-US"/>
        </w:rPr>
        <w:t>Malamatri</w:t>
      </w:r>
      <w:proofErr w:type="spellEnd"/>
      <w:r w:rsidR="003075EC" w:rsidRPr="003075EC">
        <w:rPr>
          <w:lang w:val="en-US"/>
        </w:rPr>
        <w:t xml:space="preserve"> M.</w:t>
      </w:r>
      <w:r w:rsidR="003075EC">
        <w:rPr>
          <w:lang w:val="en-US"/>
        </w:rPr>
        <w:t xml:space="preserve"> &amp; </w:t>
      </w:r>
      <w:proofErr w:type="spellStart"/>
      <w:r w:rsidR="003075EC" w:rsidRPr="003075EC">
        <w:rPr>
          <w:lang w:val="en-US"/>
        </w:rPr>
        <w:t>Kachrimanis</w:t>
      </w:r>
      <w:proofErr w:type="spellEnd"/>
      <w:r w:rsidR="003075EC" w:rsidRPr="003075EC">
        <w:rPr>
          <w:lang w:val="en-US"/>
        </w:rPr>
        <w:t xml:space="preserve"> K.</w:t>
      </w:r>
      <w:r>
        <w:t xml:space="preserve"> (</w:t>
      </w:r>
      <w:r w:rsidR="003075EC">
        <w:t>2018</w:t>
      </w:r>
      <w:r>
        <w:t xml:space="preserve">). </w:t>
      </w:r>
      <w:r w:rsidR="003075EC" w:rsidRPr="003075EC">
        <w:rPr>
          <w:i/>
          <w:lang w:val="en-US"/>
        </w:rPr>
        <w:t>Pharmaceutics</w:t>
      </w:r>
      <w:r>
        <w:t xml:space="preserve">, </w:t>
      </w:r>
      <w:r w:rsidR="003075EC">
        <w:rPr>
          <w:b/>
        </w:rPr>
        <w:t>10</w:t>
      </w:r>
      <w:r>
        <w:t xml:space="preserve">, </w:t>
      </w:r>
      <w:r w:rsidR="003075EC">
        <w:t>18</w:t>
      </w:r>
      <w:r>
        <w:t>.</w:t>
      </w:r>
    </w:p>
    <w:p w14:paraId="5AE1CD72" w14:textId="7393C9F2" w:rsidR="00075092" w:rsidRDefault="00E006AC">
      <w:pPr>
        <w:pStyle w:val="Nagwek4"/>
      </w:pPr>
      <w:r>
        <w:t xml:space="preserve">[3] </w:t>
      </w:r>
      <w:r w:rsidR="003075EC" w:rsidRPr="003075EC">
        <w:rPr>
          <w:lang w:val="pl-PL"/>
        </w:rPr>
        <w:t xml:space="preserve">Nowak W., Gołdyn M., Grupa O., Starzyk J., </w:t>
      </w:r>
      <w:proofErr w:type="spellStart"/>
      <w:r w:rsidR="003075EC" w:rsidRPr="003075EC">
        <w:rPr>
          <w:lang w:val="pl-PL"/>
        </w:rPr>
        <w:t>Larowska-Zarych</w:t>
      </w:r>
      <w:proofErr w:type="spellEnd"/>
      <w:r w:rsidR="003075EC" w:rsidRPr="003075EC">
        <w:rPr>
          <w:lang w:val="pl-PL"/>
        </w:rPr>
        <w:t xml:space="preserve"> D., Frąckowiak K.</w:t>
      </w:r>
      <w:r w:rsidR="003075EC">
        <w:rPr>
          <w:lang w:val="pl-PL"/>
        </w:rPr>
        <w:t xml:space="preserve"> &amp;</w:t>
      </w:r>
      <w:r w:rsidR="003075EC" w:rsidRPr="003075EC">
        <w:rPr>
          <w:lang w:val="pl-PL"/>
        </w:rPr>
        <w:t xml:space="preserve"> </w:t>
      </w:r>
      <w:proofErr w:type="spellStart"/>
      <w:r w:rsidR="003075EC" w:rsidRPr="003075EC">
        <w:rPr>
          <w:lang w:val="pl-PL"/>
        </w:rPr>
        <w:t>Bartoszak</w:t>
      </w:r>
      <w:proofErr w:type="spellEnd"/>
      <w:r w:rsidR="003075EC" w:rsidRPr="003075EC">
        <w:rPr>
          <w:lang w:val="pl-PL"/>
        </w:rPr>
        <w:t>-Adamska</w:t>
      </w:r>
      <w:r w:rsidR="003075EC" w:rsidRPr="003075EC">
        <w:t xml:space="preserve"> </w:t>
      </w:r>
      <w:r>
        <w:t>(</w:t>
      </w:r>
      <w:r w:rsidR="003075EC">
        <w:t>2025</w:t>
      </w:r>
      <w:r>
        <w:t>)</w:t>
      </w:r>
      <w:r w:rsidRPr="003075EC">
        <w:rPr>
          <w:szCs w:val="18"/>
        </w:rPr>
        <w:t xml:space="preserve">. </w:t>
      </w:r>
      <w:r w:rsidR="003075EC" w:rsidRPr="003075EC">
        <w:rPr>
          <w:i/>
          <w:iCs/>
          <w:szCs w:val="18"/>
          <w:lang w:val="en-US"/>
        </w:rPr>
        <w:t xml:space="preserve">ACS Sustain </w:t>
      </w:r>
      <w:proofErr w:type="spellStart"/>
      <w:r w:rsidR="003075EC" w:rsidRPr="003075EC">
        <w:rPr>
          <w:i/>
          <w:iCs/>
          <w:szCs w:val="18"/>
          <w:lang w:val="en-US"/>
        </w:rPr>
        <w:t>Chem</w:t>
      </w:r>
      <w:proofErr w:type="spellEnd"/>
      <w:r w:rsidR="003075EC" w:rsidRPr="003075EC">
        <w:rPr>
          <w:i/>
          <w:iCs/>
          <w:szCs w:val="18"/>
          <w:lang w:val="en-US"/>
        </w:rPr>
        <w:t xml:space="preserve"> </w:t>
      </w:r>
      <w:proofErr w:type="spellStart"/>
      <w:r w:rsidR="003075EC" w:rsidRPr="003075EC">
        <w:rPr>
          <w:i/>
          <w:iCs/>
          <w:szCs w:val="18"/>
          <w:lang w:val="en-US"/>
        </w:rPr>
        <w:t>Eng</w:t>
      </w:r>
      <w:proofErr w:type="spellEnd"/>
      <w:r w:rsidR="003075EC">
        <w:rPr>
          <w:szCs w:val="18"/>
          <w:lang w:val="en-US"/>
        </w:rPr>
        <w:t>, submitted</w:t>
      </w:r>
    </w:p>
    <w:p w14:paraId="6D3DC74E" w14:textId="1B434E0A" w:rsidR="00075092" w:rsidRPr="003075EC" w:rsidRDefault="003075EC" w:rsidP="003075EC">
      <w:pPr>
        <w:pStyle w:val="Acknowledgement"/>
        <w:rPr>
          <w:lang w:val="pt-BR"/>
        </w:rPr>
      </w:pPr>
      <w:r w:rsidRPr="003075EC">
        <w:rPr>
          <w:lang w:val="en-US" w:eastAsia="cs-CZ"/>
        </w:rPr>
        <w:t xml:space="preserve">MG thanks the National Science Centre (grant PRELUDIUM no. 2021/41/N/ST5/00503) for financial support and Adam Mickiewicz University for funds from the Initiative of Excellence – Research University (IDUB) program obtained in the PhD </w:t>
      </w:r>
      <w:proofErr w:type="spellStart"/>
      <w:r w:rsidRPr="003075EC">
        <w:rPr>
          <w:lang w:val="en-US" w:eastAsia="cs-CZ"/>
        </w:rPr>
        <w:t>Minigrants</w:t>
      </w:r>
      <w:proofErr w:type="spellEnd"/>
      <w:r w:rsidRPr="003075EC">
        <w:rPr>
          <w:lang w:val="en-US" w:eastAsia="cs-CZ"/>
        </w:rPr>
        <w:t xml:space="preserve"> competition no. 017 (research grant no. 017/02/SNŚ/0005).</w:t>
      </w:r>
    </w:p>
    <w:sectPr w:rsidR="00075092" w:rsidRPr="003075EC">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B6C9" w14:textId="77777777" w:rsidR="00E006AC" w:rsidRDefault="00E006AC">
      <w:pPr>
        <w:spacing w:after="0"/>
      </w:pPr>
      <w:r>
        <w:separator/>
      </w:r>
    </w:p>
  </w:endnote>
  <w:endnote w:type="continuationSeparator" w:id="0">
    <w:p w14:paraId="5413EDE0" w14:textId="77777777" w:rsidR="00E006AC" w:rsidRDefault="00E00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E4AE" w14:textId="77777777" w:rsidR="00075092" w:rsidRDefault="00E006AC">
    <w:pPr>
      <w:pStyle w:val="Stopka"/>
    </w:pPr>
    <w:proofErr w:type="spellStart"/>
    <w:r>
      <w:t>Acta</w:t>
    </w:r>
    <w:proofErr w:type="spellEnd"/>
    <w:r>
      <w:t xml:space="preserve"> </w:t>
    </w:r>
    <w:proofErr w:type="spellStart"/>
    <w:r>
      <w:t>Cryst</w:t>
    </w:r>
    <w:proofErr w:type="spellEnd"/>
    <w:r>
      <w:t>. (2025). A81, e1</w:t>
    </w:r>
  </w:p>
  <w:p w14:paraId="0C0E8B68" w14:textId="77777777" w:rsidR="00075092" w:rsidRDefault="00075092">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AA1C" w14:textId="77777777" w:rsidR="00E006AC" w:rsidRDefault="00E006AC">
      <w:pPr>
        <w:spacing w:after="0"/>
      </w:pPr>
      <w:r>
        <w:separator/>
      </w:r>
    </w:p>
  </w:footnote>
  <w:footnote w:type="continuationSeparator" w:id="0">
    <w:p w14:paraId="5D37B101" w14:textId="77777777" w:rsidR="00E006AC" w:rsidRDefault="00E006A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DACE" w14:textId="77777777" w:rsidR="00075092" w:rsidRDefault="00E006AC">
    <w:pPr>
      <w:tabs>
        <w:tab w:val="center" w:pos="4703"/>
        <w:tab w:val="right" w:pos="9406"/>
      </w:tabs>
    </w:pPr>
    <w:r>
      <w:rPr>
        <w:b/>
        <w:bCs/>
      </w:rPr>
      <w:t>MS</w:t>
    </w:r>
    <w:r>
      <w:tab/>
    </w:r>
    <w:proofErr w:type="spellStart"/>
    <w:r>
      <w:rPr>
        <w:b/>
        <w:bCs/>
      </w:rPr>
      <w:t>Microsymp</w:t>
    </w:r>
    <w:r>
      <w:rPr>
        <w:b/>
        <w:bCs/>
      </w:rPr>
      <w:t>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92"/>
    <w:rsid w:val="00075092"/>
    <w:rsid w:val="002A492A"/>
    <w:rsid w:val="002D377D"/>
    <w:rsid w:val="003075EC"/>
    <w:rsid w:val="003E69AA"/>
    <w:rsid w:val="00421158"/>
    <w:rsid w:val="00707BCE"/>
    <w:rsid w:val="007512DD"/>
    <w:rsid w:val="00AD7F5C"/>
    <w:rsid w:val="00AF080B"/>
    <w:rsid w:val="00B26C20"/>
    <w:rsid w:val="00B419FD"/>
    <w:rsid w:val="00B5774B"/>
    <w:rsid w:val="00E006AC"/>
    <w:rsid w:val="00F043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C91C"/>
  <w15:docId w15:val="{58FC0900-870B-442A-B512-E99A34B2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uppressAutoHyphens/>
      <w:spacing w:after="120"/>
      <w:jc w:val="both"/>
    </w:pPr>
    <w:rPr>
      <w:lang w:val="en-GB"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3075EC"/>
    <w:pPr>
      <w:spacing w:line="480" w:lineRule="auto"/>
    </w:pPr>
  </w:style>
  <w:style w:type="character" w:customStyle="1" w:styleId="Tekstpodstawowy2Znak">
    <w:name w:val="Tekst podstawowy 2 Znak"/>
    <w:link w:val="Tekstpodstawowy2"/>
    <w:uiPriority w:val="99"/>
    <w:semiHidden/>
    <w:rsid w:val="003075EC"/>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E68DD-2F5A-4554-B18E-FA8F436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2963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Ela</cp:lastModifiedBy>
  <cp:revision>2</cp:revision>
  <cp:lastPrinted>2025-05-08T09:25:00Z</cp:lastPrinted>
  <dcterms:created xsi:type="dcterms:W3CDTF">2025-05-08T10:06:00Z</dcterms:created>
  <dcterms:modified xsi:type="dcterms:W3CDTF">2025-05-08T10:06:00Z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